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645AE" w14:textId="6363F29A" w:rsidR="005E07CA" w:rsidRDefault="005E07CA" w:rsidP="005E07CA">
      <w:pPr>
        <w:pBdr>
          <w:top w:val="single" w:sz="12" w:space="1" w:color="auto"/>
          <w:left w:val="single" w:sz="12" w:space="4" w:color="auto"/>
          <w:bottom w:val="single" w:sz="12" w:space="1" w:color="auto"/>
          <w:right w:val="single" w:sz="12" w:space="4" w:color="auto"/>
        </w:pBdr>
        <w:jc w:val="center"/>
        <w:rPr>
          <w:b/>
          <w:i/>
          <w:sz w:val="28"/>
        </w:rPr>
      </w:pPr>
      <w:r w:rsidRPr="005E07CA">
        <w:rPr>
          <w:b/>
          <w:i/>
          <w:sz w:val="28"/>
        </w:rPr>
        <w:t>Everything You Ever Wanted To Know About Specific Direction But Were Afraid To Ask</w:t>
      </w:r>
    </w:p>
    <w:p w14:paraId="50E0FF96" w14:textId="77777777" w:rsidR="005E07CA" w:rsidRPr="005E07CA" w:rsidRDefault="005E07CA" w:rsidP="005E07CA">
      <w:pPr>
        <w:pBdr>
          <w:top w:val="single" w:sz="12" w:space="1" w:color="auto"/>
          <w:left w:val="single" w:sz="12" w:space="4" w:color="auto"/>
          <w:bottom w:val="single" w:sz="12" w:space="1" w:color="auto"/>
          <w:right w:val="single" w:sz="12" w:space="4" w:color="auto"/>
        </w:pBdr>
        <w:jc w:val="center"/>
        <w:rPr>
          <w:b/>
          <w:i/>
          <w:sz w:val="28"/>
        </w:rPr>
      </w:pPr>
    </w:p>
    <w:p w14:paraId="44ABC913" w14:textId="491BFB3B" w:rsidR="005E07CA" w:rsidRDefault="005E07CA" w:rsidP="005E07CA">
      <w:pPr>
        <w:pBdr>
          <w:top w:val="single" w:sz="12" w:space="1" w:color="auto"/>
          <w:left w:val="single" w:sz="12" w:space="4" w:color="auto"/>
          <w:bottom w:val="single" w:sz="12" w:space="1" w:color="auto"/>
          <w:right w:val="single" w:sz="12" w:space="4" w:color="auto"/>
        </w:pBdr>
        <w:jc w:val="center"/>
        <w:rPr>
          <w:b/>
          <w:sz w:val="28"/>
        </w:rPr>
      </w:pPr>
      <w:r>
        <w:rPr>
          <w:b/>
          <w:sz w:val="28"/>
        </w:rPr>
        <w:t>Dr. Kevin Jon Heller</w:t>
      </w:r>
    </w:p>
    <w:p w14:paraId="62B9F216" w14:textId="77777777" w:rsidR="005E07CA" w:rsidRDefault="005E07CA" w:rsidP="005E07CA">
      <w:pPr>
        <w:pBdr>
          <w:top w:val="single" w:sz="12" w:space="1" w:color="auto"/>
          <w:left w:val="single" w:sz="12" w:space="4" w:color="auto"/>
          <w:bottom w:val="single" w:sz="12" w:space="1" w:color="auto"/>
          <w:right w:val="single" w:sz="12" w:space="4" w:color="auto"/>
        </w:pBdr>
        <w:jc w:val="center"/>
        <w:rPr>
          <w:b/>
          <w:sz w:val="28"/>
        </w:rPr>
      </w:pPr>
    </w:p>
    <w:p w14:paraId="7BAB2D61" w14:textId="2507E821" w:rsidR="005E07CA" w:rsidRDefault="00FA064B" w:rsidP="005E07CA">
      <w:pPr>
        <w:pBdr>
          <w:top w:val="single" w:sz="12" w:space="1" w:color="auto"/>
          <w:left w:val="single" w:sz="12" w:space="4" w:color="auto"/>
          <w:bottom w:val="single" w:sz="12" w:space="1" w:color="auto"/>
          <w:right w:val="single" w:sz="12" w:space="4" w:color="auto"/>
        </w:pBdr>
        <w:jc w:val="center"/>
        <w:rPr>
          <w:b/>
          <w:sz w:val="28"/>
        </w:rPr>
      </w:pPr>
      <w:r>
        <w:rPr>
          <w:b/>
          <w:sz w:val="28"/>
        </w:rPr>
        <w:t>Professor of</w:t>
      </w:r>
      <w:bookmarkStart w:id="0" w:name="_GoBack"/>
      <w:bookmarkEnd w:id="0"/>
      <w:r w:rsidR="005E07CA">
        <w:rPr>
          <w:b/>
          <w:sz w:val="28"/>
        </w:rPr>
        <w:t xml:space="preserve"> Criminal Law, SOAS, University Of London</w:t>
      </w:r>
    </w:p>
    <w:p w14:paraId="15E32882" w14:textId="77777777" w:rsidR="005E07CA" w:rsidRDefault="005E07CA" w:rsidP="000A5DD7">
      <w:pPr>
        <w:jc w:val="center"/>
        <w:rPr>
          <w:b/>
          <w:sz w:val="28"/>
        </w:rPr>
      </w:pPr>
    </w:p>
    <w:p w14:paraId="1289129B" w14:textId="77777777" w:rsidR="005E07CA" w:rsidRDefault="005E07CA" w:rsidP="000A5DD7">
      <w:pPr>
        <w:jc w:val="center"/>
        <w:rPr>
          <w:b/>
          <w:sz w:val="28"/>
        </w:rPr>
      </w:pPr>
    </w:p>
    <w:p w14:paraId="6D7EF217" w14:textId="2AA5BAC4" w:rsidR="00AC129A" w:rsidRPr="000F6B2D" w:rsidRDefault="000A5DD7" w:rsidP="000A5DD7">
      <w:pPr>
        <w:jc w:val="center"/>
        <w:rPr>
          <w:b/>
          <w:sz w:val="28"/>
        </w:rPr>
      </w:pPr>
      <w:r w:rsidRPr="000F6B2D">
        <w:rPr>
          <w:b/>
          <w:sz w:val="28"/>
        </w:rPr>
        <w:t>INTRODUCTION</w:t>
      </w:r>
    </w:p>
    <w:p w14:paraId="3A1A4807" w14:textId="77777777" w:rsidR="00AF4ED0" w:rsidRDefault="00AF4ED0">
      <w:pPr>
        <w:rPr>
          <w:sz w:val="28"/>
        </w:rPr>
      </w:pPr>
    </w:p>
    <w:p w14:paraId="11910E88" w14:textId="1C68057F" w:rsidR="005557B3" w:rsidRPr="000F6B2D" w:rsidRDefault="00100AEF" w:rsidP="005557B3">
      <w:pPr>
        <w:rPr>
          <w:sz w:val="28"/>
        </w:rPr>
      </w:pPr>
      <w:r>
        <w:rPr>
          <w:sz w:val="28"/>
        </w:rPr>
        <w:t>As I’m sure everyone in this room knows, Judge Ha</w:t>
      </w:r>
      <w:r w:rsidR="00EA1B9E">
        <w:rPr>
          <w:sz w:val="28"/>
        </w:rPr>
        <w:t>rhoff, the Danish judge at the T</w:t>
      </w:r>
      <w:r>
        <w:rPr>
          <w:sz w:val="28"/>
        </w:rPr>
        <w:t xml:space="preserve">ribunal, has accused President Meron of engineering the acquittal in </w:t>
      </w:r>
      <w:r w:rsidRPr="00AE12DA">
        <w:rPr>
          <w:i/>
          <w:sz w:val="28"/>
        </w:rPr>
        <w:t>Perisic</w:t>
      </w:r>
      <w:r>
        <w:rPr>
          <w:sz w:val="28"/>
        </w:rPr>
        <w:t xml:space="preserve"> </w:t>
      </w:r>
      <w:r w:rsidR="00996357">
        <w:rPr>
          <w:sz w:val="28"/>
        </w:rPr>
        <w:t>at the request of</w:t>
      </w:r>
      <w:r>
        <w:rPr>
          <w:sz w:val="28"/>
        </w:rPr>
        <w:t xml:space="preserve"> the US and Is</w:t>
      </w:r>
      <w:r w:rsidR="00996357">
        <w:rPr>
          <w:sz w:val="28"/>
        </w:rPr>
        <w:t>rael</w:t>
      </w:r>
      <w:r>
        <w:rPr>
          <w:sz w:val="28"/>
        </w:rPr>
        <w:t xml:space="preserve">. Here is what he </w:t>
      </w:r>
      <w:r w:rsidR="005D595B">
        <w:rPr>
          <w:sz w:val="28"/>
        </w:rPr>
        <w:t>said</w:t>
      </w:r>
      <w:r>
        <w:rPr>
          <w:sz w:val="28"/>
        </w:rPr>
        <w:t xml:space="preserve"> in his “private” letter:</w:t>
      </w:r>
    </w:p>
    <w:p w14:paraId="04E734ED" w14:textId="77777777" w:rsidR="005557B3" w:rsidRPr="000F6B2D" w:rsidRDefault="005557B3" w:rsidP="005557B3">
      <w:pPr>
        <w:rPr>
          <w:sz w:val="28"/>
        </w:rPr>
      </w:pPr>
    </w:p>
    <w:p w14:paraId="34E62072" w14:textId="019A3B99" w:rsidR="005557B3" w:rsidRPr="000F6B2D" w:rsidRDefault="005557B3" w:rsidP="00100AEF">
      <w:pPr>
        <w:ind w:left="567" w:right="645"/>
      </w:pPr>
      <w:r w:rsidRPr="000F6B2D">
        <w:t>Have any American or Israeli officials ever exerted pressure on the American presiding judge (the presiding judge for the court that is) to ensure a change of direction? We will probably never know. But reports of the same American presiding judge’s tenacious pr</w:t>
      </w:r>
      <w:r w:rsidR="00100AEF">
        <w:t xml:space="preserve">essure on his colleagues in the… </w:t>
      </w:r>
      <w:r w:rsidRPr="000F6B2D">
        <w:t>Perisic case makes you think he was determined to achieve an acquittal… You may think this is just splitting hairs. But I am sitting here with a very uncomfortable feeling that the court has changed the direction of pressure from “the military establishments” in certain dominant countries.</w:t>
      </w:r>
    </w:p>
    <w:p w14:paraId="4D820F48" w14:textId="77777777" w:rsidR="005557B3" w:rsidRDefault="005557B3">
      <w:pPr>
        <w:rPr>
          <w:sz w:val="28"/>
        </w:rPr>
      </w:pPr>
    </w:p>
    <w:p w14:paraId="6CDD7083" w14:textId="34A715AA" w:rsidR="00100AEF" w:rsidRDefault="00100AEF">
      <w:pPr>
        <w:rPr>
          <w:sz w:val="28"/>
        </w:rPr>
      </w:pPr>
      <w:r>
        <w:rPr>
          <w:sz w:val="28"/>
        </w:rPr>
        <w:t>In this presentation, I want to defend the SDR against Judge Harhoff – and a</w:t>
      </w:r>
      <w:r w:rsidR="00AE12DA">
        <w:rPr>
          <w:sz w:val="28"/>
        </w:rPr>
        <w:t xml:space="preserve">gainst </w:t>
      </w:r>
      <w:r w:rsidR="0028352F">
        <w:rPr>
          <w:sz w:val="28"/>
        </w:rPr>
        <w:t>seemingly</w:t>
      </w:r>
      <w:r w:rsidR="00AE12DA">
        <w:rPr>
          <w:sz w:val="28"/>
        </w:rPr>
        <w:t xml:space="preserve"> everyone else who has commented on the </w:t>
      </w:r>
      <w:r w:rsidR="00AE12DA" w:rsidRPr="00AE12DA">
        <w:rPr>
          <w:i/>
          <w:sz w:val="28"/>
        </w:rPr>
        <w:t>Perisic</w:t>
      </w:r>
      <w:r w:rsidR="00AE12DA">
        <w:rPr>
          <w:sz w:val="28"/>
        </w:rPr>
        <w:t xml:space="preserve"> </w:t>
      </w:r>
      <w:r w:rsidR="005D595B">
        <w:rPr>
          <w:sz w:val="28"/>
        </w:rPr>
        <w:t>judgment</w:t>
      </w:r>
      <w:r w:rsidR="00AE12DA">
        <w:rPr>
          <w:sz w:val="28"/>
        </w:rPr>
        <w:t xml:space="preserve">. </w:t>
      </w:r>
      <w:r w:rsidR="0028352F">
        <w:rPr>
          <w:sz w:val="28"/>
        </w:rPr>
        <w:t>In particular</w:t>
      </w:r>
      <w:r w:rsidR="00EA1B9E">
        <w:rPr>
          <w:sz w:val="28"/>
        </w:rPr>
        <w:t xml:space="preserve">, </w:t>
      </w:r>
      <w:r w:rsidR="00996357">
        <w:rPr>
          <w:sz w:val="28"/>
        </w:rPr>
        <w:t>I</w:t>
      </w:r>
      <w:r w:rsidR="00AE12DA">
        <w:rPr>
          <w:sz w:val="28"/>
        </w:rPr>
        <w:t xml:space="preserve"> will do four things:</w:t>
      </w:r>
    </w:p>
    <w:p w14:paraId="796F61BF" w14:textId="77777777" w:rsidR="00AE12DA" w:rsidRDefault="00AE12DA">
      <w:pPr>
        <w:rPr>
          <w:sz w:val="28"/>
        </w:rPr>
      </w:pPr>
    </w:p>
    <w:p w14:paraId="16099FEB" w14:textId="5A024EF9" w:rsidR="00AE12DA" w:rsidRPr="00AE12DA" w:rsidRDefault="00AE12DA" w:rsidP="00AE12DA">
      <w:pPr>
        <w:pStyle w:val="ListParagraph"/>
        <w:numPr>
          <w:ilvl w:val="0"/>
          <w:numId w:val="5"/>
        </w:numPr>
        <w:rPr>
          <w:sz w:val="28"/>
        </w:rPr>
      </w:pPr>
      <w:r w:rsidRPr="00AE12DA">
        <w:rPr>
          <w:sz w:val="28"/>
        </w:rPr>
        <w:t xml:space="preserve">Summarize what the </w:t>
      </w:r>
      <w:r w:rsidR="003B1E4F">
        <w:rPr>
          <w:sz w:val="28"/>
        </w:rPr>
        <w:t>majority</w:t>
      </w:r>
      <w:r w:rsidRPr="00AE12DA">
        <w:rPr>
          <w:sz w:val="28"/>
        </w:rPr>
        <w:t xml:space="preserve"> held regarding specific direction.</w:t>
      </w:r>
    </w:p>
    <w:p w14:paraId="02029496" w14:textId="77777777" w:rsidR="00AE12DA" w:rsidRDefault="00AE12DA">
      <w:pPr>
        <w:rPr>
          <w:sz w:val="28"/>
        </w:rPr>
      </w:pPr>
    </w:p>
    <w:p w14:paraId="146DA5BD" w14:textId="4175029E" w:rsidR="00AE12DA" w:rsidRPr="00AE12DA" w:rsidRDefault="00524E3D" w:rsidP="00AE12DA">
      <w:pPr>
        <w:pStyle w:val="ListParagraph"/>
        <w:numPr>
          <w:ilvl w:val="0"/>
          <w:numId w:val="5"/>
        </w:numPr>
        <w:rPr>
          <w:sz w:val="28"/>
        </w:rPr>
      </w:pPr>
      <w:r>
        <w:rPr>
          <w:sz w:val="28"/>
        </w:rPr>
        <w:t>Respond to two different claims that</w:t>
      </w:r>
      <w:r w:rsidR="00AE12DA" w:rsidRPr="00AE12DA">
        <w:rPr>
          <w:sz w:val="28"/>
        </w:rPr>
        <w:t xml:space="preserve"> the</w:t>
      </w:r>
      <w:r>
        <w:rPr>
          <w:sz w:val="28"/>
        </w:rPr>
        <w:t xml:space="preserve"> SDR lacks an adequate legal foundation.</w:t>
      </w:r>
    </w:p>
    <w:p w14:paraId="5DEDDED6" w14:textId="77777777" w:rsidR="00AE12DA" w:rsidRDefault="00AE12DA">
      <w:pPr>
        <w:rPr>
          <w:sz w:val="28"/>
        </w:rPr>
      </w:pPr>
    </w:p>
    <w:p w14:paraId="098A9C00" w14:textId="473E94B2" w:rsidR="00AE12DA" w:rsidRPr="00AE12DA" w:rsidRDefault="005D595B" w:rsidP="00AE12DA">
      <w:pPr>
        <w:pStyle w:val="ListParagraph"/>
        <w:numPr>
          <w:ilvl w:val="0"/>
          <w:numId w:val="5"/>
        </w:numPr>
        <w:rPr>
          <w:sz w:val="28"/>
        </w:rPr>
      </w:pPr>
      <w:r>
        <w:rPr>
          <w:sz w:val="28"/>
        </w:rPr>
        <w:t>Argue that the SDR i</w:t>
      </w:r>
      <w:r w:rsidR="00AE12DA" w:rsidRPr="00AE12DA">
        <w:rPr>
          <w:sz w:val="28"/>
        </w:rPr>
        <w:t>s justified by the normative structure of aiding and abetting.</w:t>
      </w:r>
    </w:p>
    <w:p w14:paraId="397D0CA2" w14:textId="77777777" w:rsidR="00AE12DA" w:rsidRDefault="00AE12DA">
      <w:pPr>
        <w:rPr>
          <w:sz w:val="28"/>
        </w:rPr>
      </w:pPr>
    </w:p>
    <w:p w14:paraId="6351A544" w14:textId="2FA56F64" w:rsidR="00AE12DA" w:rsidRPr="00AE12DA" w:rsidRDefault="00AE12DA" w:rsidP="00AE12DA">
      <w:pPr>
        <w:pStyle w:val="ListParagraph"/>
        <w:numPr>
          <w:ilvl w:val="0"/>
          <w:numId w:val="5"/>
        </w:numPr>
        <w:rPr>
          <w:sz w:val="28"/>
        </w:rPr>
      </w:pPr>
      <w:r w:rsidRPr="00AE12DA">
        <w:rPr>
          <w:sz w:val="28"/>
        </w:rPr>
        <w:t>Explore what the implications of the SDR might be for future cases</w:t>
      </w:r>
      <w:r w:rsidR="00334921">
        <w:rPr>
          <w:sz w:val="28"/>
        </w:rPr>
        <w:t xml:space="preserve"> </w:t>
      </w:r>
      <w:r w:rsidRPr="00AE12DA">
        <w:rPr>
          <w:sz w:val="28"/>
        </w:rPr>
        <w:t>at the ICC.</w:t>
      </w:r>
    </w:p>
    <w:p w14:paraId="20104D26" w14:textId="77777777" w:rsidR="00AE12DA" w:rsidRDefault="00AE12DA">
      <w:pPr>
        <w:rPr>
          <w:sz w:val="28"/>
        </w:rPr>
      </w:pPr>
    </w:p>
    <w:p w14:paraId="671022CD" w14:textId="4B0FC5A0" w:rsidR="00AE12DA" w:rsidRDefault="00AE12DA">
      <w:pPr>
        <w:rPr>
          <w:sz w:val="28"/>
        </w:rPr>
      </w:pPr>
      <w:r>
        <w:rPr>
          <w:sz w:val="28"/>
        </w:rPr>
        <w:t xml:space="preserve">Before proceeding, one caveat: I am not </w:t>
      </w:r>
      <w:r w:rsidR="00452324">
        <w:rPr>
          <w:sz w:val="28"/>
        </w:rPr>
        <w:t xml:space="preserve">going to </w:t>
      </w:r>
      <w:r w:rsidR="00EA1B9E">
        <w:rPr>
          <w:sz w:val="28"/>
        </w:rPr>
        <w:t>discuss</w:t>
      </w:r>
      <w:r w:rsidR="003B1E4F">
        <w:rPr>
          <w:sz w:val="28"/>
        </w:rPr>
        <w:t xml:space="preserve"> the majority</w:t>
      </w:r>
      <w:r>
        <w:rPr>
          <w:sz w:val="28"/>
        </w:rPr>
        <w:t xml:space="preserve">’s </w:t>
      </w:r>
      <w:r w:rsidRPr="00452324">
        <w:rPr>
          <w:sz w:val="28"/>
          <w:u w:val="single"/>
        </w:rPr>
        <w:t>application</w:t>
      </w:r>
      <w:r>
        <w:rPr>
          <w:sz w:val="28"/>
        </w:rPr>
        <w:t xml:space="preserve"> </w:t>
      </w:r>
      <w:r w:rsidR="00D17559">
        <w:rPr>
          <w:sz w:val="28"/>
        </w:rPr>
        <w:t xml:space="preserve">of the SDR </w:t>
      </w:r>
      <w:r w:rsidR="005D595B">
        <w:rPr>
          <w:sz w:val="28"/>
        </w:rPr>
        <w:t>in the case</w:t>
      </w:r>
      <w:r w:rsidR="00EA1B9E">
        <w:rPr>
          <w:sz w:val="28"/>
        </w:rPr>
        <w:t xml:space="preserve"> – whether </w:t>
      </w:r>
      <w:r w:rsidR="001E575B">
        <w:rPr>
          <w:sz w:val="28"/>
        </w:rPr>
        <w:t xml:space="preserve">Gen. </w:t>
      </w:r>
      <w:r w:rsidR="00EA1B9E">
        <w:rPr>
          <w:sz w:val="28"/>
        </w:rPr>
        <w:t>Perisic did, in fact, specifically direct</w:t>
      </w:r>
      <w:r w:rsidR="00334921">
        <w:rPr>
          <w:sz w:val="28"/>
        </w:rPr>
        <w:t xml:space="preserve"> assistance to the VRS’s unlawful </w:t>
      </w:r>
      <w:r w:rsidR="00334921">
        <w:rPr>
          <w:sz w:val="28"/>
        </w:rPr>
        <w:lastRenderedPageBreak/>
        <w:t>activities</w:t>
      </w:r>
      <w:r w:rsidR="00D17559">
        <w:rPr>
          <w:sz w:val="28"/>
        </w:rPr>
        <w:t>.</w:t>
      </w:r>
      <w:r w:rsidR="00452324">
        <w:rPr>
          <w:sz w:val="28"/>
        </w:rPr>
        <w:t xml:space="preserve"> Judge Moloto’s disse</w:t>
      </w:r>
      <w:r w:rsidR="00EA1B9E">
        <w:rPr>
          <w:sz w:val="28"/>
        </w:rPr>
        <w:t>nt in the TC and the majority’s</w:t>
      </w:r>
      <w:r w:rsidR="000A42EF">
        <w:rPr>
          <w:sz w:val="28"/>
        </w:rPr>
        <w:t xml:space="preserve"> judgment</w:t>
      </w:r>
      <w:r w:rsidR="00452324">
        <w:rPr>
          <w:sz w:val="28"/>
        </w:rPr>
        <w:t xml:space="preserve"> </w:t>
      </w:r>
      <w:r w:rsidR="00D17559">
        <w:rPr>
          <w:sz w:val="28"/>
        </w:rPr>
        <w:t>seem</w:t>
      </w:r>
      <w:r w:rsidR="00452324">
        <w:rPr>
          <w:sz w:val="28"/>
        </w:rPr>
        <w:t xml:space="preserve"> persuasive</w:t>
      </w:r>
      <w:r w:rsidR="005D595B">
        <w:rPr>
          <w:sz w:val="28"/>
        </w:rPr>
        <w:t xml:space="preserve"> to me</w:t>
      </w:r>
      <w:r w:rsidR="00452324">
        <w:rPr>
          <w:sz w:val="28"/>
        </w:rPr>
        <w:t>, but I do not know enough about the facts to venture an informed opinion.</w:t>
      </w:r>
      <w:r w:rsidR="005D595B">
        <w:rPr>
          <w:sz w:val="28"/>
        </w:rPr>
        <w:t xml:space="preserve"> I will focus solely on the law.</w:t>
      </w:r>
    </w:p>
    <w:p w14:paraId="58E78E19" w14:textId="77777777" w:rsidR="00AE12DA" w:rsidRDefault="00AE12DA">
      <w:pPr>
        <w:rPr>
          <w:sz w:val="28"/>
        </w:rPr>
      </w:pPr>
    </w:p>
    <w:p w14:paraId="37ADB1D5" w14:textId="21AC5FA1" w:rsidR="00100AEF" w:rsidRPr="000F6B2D" w:rsidRDefault="00100AEF" w:rsidP="00100AEF">
      <w:pPr>
        <w:jc w:val="center"/>
        <w:rPr>
          <w:b/>
          <w:sz w:val="28"/>
        </w:rPr>
      </w:pPr>
      <w:r>
        <w:rPr>
          <w:b/>
          <w:sz w:val="28"/>
        </w:rPr>
        <w:t>PERISIC</w:t>
      </w:r>
    </w:p>
    <w:p w14:paraId="2F07A2C6" w14:textId="77777777" w:rsidR="00100AEF" w:rsidRDefault="00100AEF">
      <w:pPr>
        <w:rPr>
          <w:sz w:val="28"/>
        </w:rPr>
      </w:pPr>
    </w:p>
    <w:p w14:paraId="583FBD49" w14:textId="5FFF5443" w:rsidR="00081DE0" w:rsidRDefault="000A42EF">
      <w:pPr>
        <w:rPr>
          <w:sz w:val="28"/>
        </w:rPr>
      </w:pPr>
      <w:r>
        <w:rPr>
          <w:sz w:val="28"/>
        </w:rPr>
        <w:t xml:space="preserve">In </w:t>
      </w:r>
      <w:r w:rsidRPr="003B1E4F">
        <w:rPr>
          <w:i/>
          <w:sz w:val="28"/>
        </w:rPr>
        <w:t>Perisic</w:t>
      </w:r>
      <w:r>
        <w:rPr>
          <w:sz w:val="28"/>
        </w:rPr>
        <w:t xml:space="preserve">, the majority </w:t>
      </w:r>
      <w:r w:rsidR="005D595B">
        <w:rPr>
          <w:sz w:val="28"/>
        </w:rPr>
        <w:t xml:space="preserve">addressed a very specific type of </w:t>
      </w:r>
      <w:r>
        <w:rPr>
          <w:sz w:val="28"/>
        </w:rPr>
        <w:t xml:space="preserve">aiding and abetting – namely, where the assistance that had a substantial effect on the commission of </w:t>
      </w:r>
      <w:r w:rsidR="00AB734E">
        <w:rPr>
          <w:sz w:val="28"/>
        </w:rPr>
        <w:t>international crime</w:t>
      </w:r>
      <w:r w:rsidR="00081DE0">
        <w:rPr>
          <w:sz w:val="28"/>
        </w:rPr>
        <w:t>s</w:t>
      </w:r>
      <w:r>
        <w:rPr>
          <w:sz w:val="28"/>
        </w:rPr>
        <w:t xml:space="preserve"> could have been used for </w:t>
      </w:r>
      <w:r w:rsidRPr="0041250F">
        <w:rPr>
          <w:sz w:val="28"/>
          <w:u w:val="single"/>
        </w:rPr>
        <w:t>either</w:t>
      </w:r>
      <w:r>
        <w:rPr>
          <w:sz w:val="28"/>
        </w:rPr>
        <w:t xml:space="preserve"> lawful or unlawful activities. </w:t>
      </w:r>
    </w:p>
    <w:p w14:paraId="2288482C" w14:textId="204D7083" w:rsidR="009F6C05" w:rsidRDefault="000A42EF">
      <w:pPr>
        <w:rPr>
          <w:sz w:val="28"/>
        </w:rPr>
      </w:pPr>
      <w:r>
        <w:rPr>
          <w:sz w:val="28"/>
        </w:rPr>
        <w:t xml:space="preserve"> </w:t>
      </w:r>
    </w:p>
    <w:p w14:paraId="0E58C17C" w14:textId="4B185A79" w:rsidR="00497AB9" w:rsidRPr="000A42EF" w:rsidRDefault="000A42EF" w:rsidP="00497AB9">
      <w:pPr>
        <w:pStyle w:val="ListParagraph"/>
        <w:numPr>
          <w:ilvl w:val="0"/>
          <w:numId w:val="10"/>
        </w:numPr>
        <w:rPr>
          <w:sz w:val="28"/>
        </w:rPr>
      </w:pPr>
      <w:r w:rsidRPr="000A42EF">
        <w:rPr>
          <w:sz w:val="28"/>
        </w:rPr>
        <w:t>This kind of assistance is often</w:t>
      </w:r>
      <w:r>
        <w:rPr>
          <w:sz w:val="28"/>
        </w:rPr>
        <w:t xml:space="preserve"> described in domestic criminal </w:t>
      </w:r>
      <w:r w:rsidRPr="000A42EF">
        <w:rPr>
          <w:sz w:val="28"/>
        </w:rPr>
        <w:t xml:space="preserve">law as </w:t>
      </w:r>
      <w:r w:rsidRPr="005D595B">
        <w:rPr>
          <w:i/>
          <w:sz w:val="28"/>
        </w:rPr>
        <w:t>“neutral assistance”</w:t>
      </w:r>
      <w:r>
        <w:rPr>
          <w:sz w:val="28"/>
        </w:rPr>
        <w:t xml:space="preserve"> – the provision of fungible items such as</w:t>
      </w:r>
      <w:r w:rsidR="005D595B">
        <w:rPr>
          <w:sz w:val="28"/>
        </w:rPr>
        <w:t xml:space="preserve"> money, weapons, personnel</w:t>
      </w:r>
      <w:r w:rsidR="00497AB9" w:rsidRPr="000A42EF">
        <w:rPr>
          <w:sz w:val="28"/>
        </w:rPr>
        <w:t>, etc.</w:t>
      </w:r>
    </w:p>
    <w:p w14:paraId="5CDF70B8" w14:textId="77777777" w:rsidR="00497AB9" w:rsidRDefault="00497AB9">
      <w:pPr>
        <w:rPr>
          <w:sz w:val="28"/>
        </w:rPr>
      </w:pPr>
    </w:p>
    <w:p w14:paraId="68A0AC07" w14:textId="72A84EA0" w:rsidR="00996357" w:rsidRDefault="00963649">
      <w:pPr>
        <w:rPr>
          <w:sz w:val="28"/>
        </w:rPr>
      </w:pPr>
      <w:r>
        <w:rPr>
          <w:sz w:val="28"/>
        </w:rPr>
        <w:t xml:space="preserve">In that context – and </w:t>
      </w:r>
      <w:r w:rsidRPr="0028352F">
        <w:rPr>
          <w:sz w:val="28"/>
          <w:u w:val="single"/>
        </w:rPr>
        <w:t>only</w:t>
      </w:r>
      <w:r>
        <w:rPr>
          <w:sz w:val="28"/>
        </w:rPr>
        <w:t xml:space="preserve"> in that context – the </w:t>
      </w:r>
      <w:r w:rsidR="003B1E4F">
        <w:rPr>
          <w:sz w:val="28"/>
        </w:rPr>
        <w:t>majority</w:t>
      </w:r>
      <w:r w:rsidR="00350ED0">
        <w:rPr>
          <w:sz w:val="28"/>
        </w:rPr>
        <w:t xml:space="preserve"> held that</w:t>
      </w:r>
      <w:r w:rsidR="00497AB9">
        <w:rPr>
          <w:sz w:val="28"/>
        </w:rPr>
        <w:t xml:space="preserve"> in order to establish </w:t>
      </w:r>
      <w:r>
        <w:rPr>
          <w:sz w:val="28"/>
        </w:rPr>
        <w:t xml:space="preserve">the </w:t>
      </w:r>
      <w:r w:rsidR="00524E3D" w:rsidRPr="00524E3D">
        <w:rPr>
          <w:i/>
          <w:sz w:val="28"/>
        </w:rPr>
        <w:t>actus reus</w:t>
      </w:r>
      <w:r>
        <w:rPr>
          <w:sz w:val="28"/>
        </w:rPr>
        <w:t xml:space="preserve"> of aiding and abetting, the prosecution </w:t>
      </w:r>
      <w:r w:rsidR="00350ED0">
        <w:rPr>
          <w:sz w:val="28"/>
        </w:rPr>
        <w:t>must</w:t>
      </w:r>
      <w:r w:rsidR="0028352F">
        <w:rPr>
          <w:sz w:val="28"/>
        </w:rPr>
        <w:t xml:space="preserve"> explicitly</w:t>
      </w:r>
      <w:r>
        <w:rPr>
          <w:sz w:val="28"/>
        </w:rPr>
        <w:t xml:space="preserve"> prove that the defendant “specifically directed” </w:t>
      </w:r>
      <w:r w:rsidR="00AB734E">
        <w:rPr>
          <w:sz w:val="28"/>
        </w:rPr>
        <w:t>his</w:t>
      </w:r>
      <w:r>
        <w:rPr>
          <w:sz w:val="28"/>
        </w:rPr>
        <w:t xml:space="preserve"> </w:t>
      </w:r>
      <w:r w:rsidR="00AB734E">
        <w:rPr>
          <w:sz w:val="28"/>
        </w:rPr>
        <w:t xml:space="preserve">neutral </w:t>
      </w:r>
      <w:r>
        <w:rPr>
          <w:sz w:val="28"/>
        </w:rPr>
        <w:t xml:space="preserve">assistance </w:t>
      </w:r>
      <w:r w:rsidR="00AB734E">
        <w:rPr>
          <w:sz w:val="28"/>
        </w:rPr>
        <w:t>to</w:t>
      </w:r>
      <w:r>
        <w:rPr>
          <w:sz w:val="28"/>
        </w:rPr>
        <w:t xml:space="preserve"> unlawful activities.  The key paragraph is paragraph 44:</w:t>
      </w:r>
    </w:p>
    <w:p w14:paraId="03175294" w14:textId="77777777" w:rsidR="00996357" w:rsidRDefault="00996357">
      <w:pPr>
        <w:rPr>
          <w:sz w:val="28"/>
        </w:rPr>
      </w:pPr>
    </w:p>
    <w:p w14:paraId="01A80367" w14:textId="771E5B4C" w:rsidR="00996357" w:rsidRPr="000F6B2D" w:rsidRDefault="00963649" w:rsidP="00184E12">
      <w:pPr>
        <w:ind w:left="567" w:right="645"/>
        <w:rPr>
          <w:szCs w:val="20"/>
        </w:rPr>
      </w:pPr>
      <w:r>
        <w:rPr>
          <w:szCs w:val="20"/>
        </w:rPr>
        <w:t>[T]</w:t>
      </w:r>
      <w:r w:rsidR="00996357" w:rsidRPr="000F6B2D">
        <w:rPr>
          <w:szCs w:val="20"/>
        </w:rPr>
        <w:t>he Appeals Chamber observes that in most cases, the provision of general assistance which could be used for both lawful and unlawful activities will not be sufficient, alone, to prove that this aid was specifically directed to crimes of principal perpetrators. In such circumstances, in order to enter a conviction for aiding and abetting, evidence establishing a direct link between the aid provided by an accused individual and the relevant crimes committed by principal perpetrators is necessary.</w:t>
      </w:r>
    </w:p>
    <w:p w14:paraId="293C196C" w14:textId="77777777" w:rsidR="00996357" w:rsidRDefault="00996357">
      <w:pPr>
        <w:rPr>
          <w:sz w:val="28"/>
        </w:rPr>
      </w:pPr>
    </w:p>
    <w:p w14:paraId="25B4AAAD" w14:textId="4595B9F9" w:rsidR="001D4F26" w:rsidRDefault="00745013" w:rsidP="001D4F26">
      <w:pPr>
        <w:rPr>
          <w:sz w:val="28"/>
        </w:rPr>
      </w:pPr>
      <w:r>
        <w:rPr>
          <w:sz w:val="28"/>
        </w:rPr>
        <w:t xml:space="preserve">According to the </w:t>
      </w:r>
      <w:r w:rsidR="003B1E4F">
        <w:rPr>
          <w:sz w:val="28"/>
        </w:rPr>
        <w:t>majority</w:t>
      </w:r>
      <w:r>
        <w:rPr>
          <w:sz w:val="28"/>
        </w:rPr>
        <w:t xml:space="preserve">, </w:t>
      </w:r>
      <w:r w:rsidR="00C252F1">
        <w:rPr>
          <w:sz w:val="28"/>
        </w:rPr>
        <w:t xml:space="preserve">the prosecution can establish the </w:t>
      </w:r>
      <w:r w:rsidR="005D595B">
        <w:rPr>
          <w:sz w:val="28"/>
        </w:rPr>
        <w:t>requisite</w:t>
      </w:r>
      <w:r w:rsidR="00C252F1">
        <w:rPr>
          <w:sz w:val="28"/>
        </w:rPr>
        <w:t xml:space="preserve"> specific direction in two different ways. The first is the most straightforward: </w:t>
      </w:r>
      <w:r w:rsidR="00AB734E">
        <w:rPr>
          <w:sz w:val="28"/>
        </w:rPr>
        <w:t>by proving that the D provided neutral assistance</w:t>
      </w:r>
      <w:r w:rsidR="00C252F1">
        <w:rPr>
          <w:sz w:val="28"/>
        </w:rPr>
        <w:t xml:space="preserve"> to </w:t>
      </w:r>
      <w:r w:rsidR="00EA1F72" w:rsidRPr="005D595B">
        <w:rPr>
          <w:i/>
          <w:sz w:val="28"/>
        </w:rPr>
        <w:t>“</w:t>
      </w:r>
      <w:r w:rsidR="001D4F26" w:rsidRPr="005D595B">
        <w:rPr>
          <w:i/>
          <w:sz w:val="28"/>
        </w:rPr>
        <w:t>an organisation whose sole and exclusive purpose was the commission of crimes.”</w:t>
      </w:r>
      <w:r w:rsidR="001D4F26">
        <w:rPr>
          <w:sz w:val="28"/>
        </w:rPr>
        <w:t xml:space="preserve"> In such a situation, specific direction </w:t>
      </w:r>
      <w:r w:rsidR="005D595B">
        <w:rPr>
          <w:sz w:val="28"/>
        </w:rPr>
        <w:t>is</w:t>
      </w:r>
      <w:r w:rsidR="001D4F26">
        <w:rPr>
          <w:sz w:val="28"/>
        </w:rPr>
        <w:t xml:space="preserve"> established as a matter of law.</w:t>
      </w:r>
    </w:p>
    <w:p w14:paraId="5688AFB2" w14:textId="77777777" w:rsidR="001D4F26" w:rsidRDefault="001D4F26" w:rsidP="001D4F26">
      <w:pPr>
        <w:rPr>
          <w:sz w:val="28"/>
        </w:rPr>
      </w:pPr>
    </w:p>
    <w:p w14:paraId="4257365D" w14:textId="2C905CE0" w:rsidR="001D4F26" w:rsidRPr="00EA1F72" w:rsidRDefault="000C2051" w:rsidP="00EA1F72">
      <w:pPr>
        <w:pStyle w:val="ListParagraph"/>
        <w:numPr>
          <w:ilvl w:val="0"/>
          <w:numId w:val="6"/>
        </w:numPr>
        <w:rPr>
          <w:sz w:val="28"/>
        </w:rPr>
      </w:pPr>
      <w:r>
        <w:rPr>
          <w:sz w:val="28"/>
        </w:rPr>
        <w:t>As a brief</w:t>
      </w:r>
      <w:r w:rsidR="001D4F26" w:rsidRPr="00EA1F72">
        <w:rPr>
          <w:sz w:val="28"/>
        </w:rPr>
        <w:t xml:space="preserve"> aside, I think this is how</w:t>
      </w:r>
      <w:r w:rsidR="00EA1F72" w:rsidRPr="00EA1F72">
        <w:rPr>
          <w:sz w:val="28"/>
        </w:rPr>
        <w:t xml:space="preserve"> the TC </w:t>
      </w:r>
      <w:r>
        <w:rPr>
          <w:sz w:val="28"/>
        </w:rPr>
        <w:t>should have</w:t>
      </w:r>
      <w:r w:rsidR="00EA1F72" w:rsidRPr="00EA1F72">
        <w:rPr>
          <w:sz w:val="28"/>
        </w:rPr>
        <w:t xml:space="preserve"> convicted Stanisic and Simatovic. I don’t think it’s much of a stretch to say that the Serbian Special Purpose Unit was a</w:t>
      </w:r>
      <w:r w:rsidR="00213AD5">
        <w:rPr>
          <w:sz w:val="28"/>
        </w:rPr>
        <w:t>n inherently</w:t>
      </w:r>
      <w:r w:rsidR="00EA1F72" w:rsidRPr="00EA1F72">
        <w:rPr>
          <w:sz w:val="28"/>
        </w:rPr>
        <w:t xml:space="preserve"> criminal organization.</w:t>
      </w:r>
    </w:p>
    <w:p w14:paraId="262AB9D5" w14:textId="77777777" w:rsidR="001D4F26" w:rsidRDefault="001D4F26">
      <w:pPr>
        <w:rPr>
          <w:sz w:val="28"/>
        </w:rPr>
      </w:pPr>
    </w:p>
    <w:p w14:paraId="5A1F6A76" w14:textId="77F347A0" w:rsidR="000C2051" w:rsidRDefault="00AB734E">
      <w:pPr>
        <w:rPr>
          <w:sz w:val="28"/>
        </w:rPr>
      </w:pPr>
      <w:r>
        <w:rPr>
          <w:sz w:val="28"/>
        </w:rPr>
        <w:t xml:space="preserve">The majority also </w:t>
      </w:r>
      <w:r w:rsidR="00524E3D">
        <w:rPr>
          <w:sz w:val="28"/>
        </w:rPr>
        <w:t>discussed</w:t>
      </w:r>
      <w:r>
        <w:rPr>
          <w:sz w:val="28"/>
        </w:rPr>
        <w:t xml:space="preserve"> a</w:t>
      </w:r>
      <w:r w:rsidR="00213AD5">
        <w:rPr>
          <w:sz w:val="28"/>
        </w:rPr>
        <w:t xml:space="preserve"> second</w:t>
      </w:r>
      <w:r>
        <w:rPr>
          <w:sz w:val="28"/>
        </w:rPr>
        <w:t xml:space="preserve"> situation</w:t>
      </w:r>
      <w:r w:rsidR="00350ED0">
        <w:rPr>
          <w:sz w:val="28"/>
        </w:rPr>
        <w:t xml:space="preserve"> – more relevant to </w:t>
      </w:r>
      <w:r w:rsidR="001E575B">
        <w:rPr>
          <w:sz w:val="28"/>
        </w:rPr>
        <w:t xml:space="preserve">Gen. </w:t>
      </w:r>
      <w:r w:rsidR="00350ED0">
        <w:rPr>
          <w:sz w:val="28"/>
        </w:rPr>
        <w:t>Perisic –</w:t>
      </w:r>
      <w:r>
        <w:rPr>
          <w:sz w:val="28"/>
        </w:rPr>
        <w:t xml:space="preserve"> in which the D provided neutral assistance to an organization that was </w:t>
      </w:r>
      <w:r w:rsidRPr="00001582">
        <w:rPr>
          <w:sz w:val="28"/>
          <w:u w:val="single"/>
        </w:rPr>
        <w:t>not</w:t>
      </w:r>
      <w:r>
        <w:rPr>
          <w:sz w:val="28"/>
        </w:rPr>
        <w:t xml:space="preserve"> solely criminal. In that situation, the Prosecution must prove that the </w:t>
      </w:r>
      <w:r w:rsidR="00EA1F72">
        <w:rPr>
          <w:sz w:val="28"/>
        </w:rPr>
        <w:t xml:space="preserve">D </w:t>
      </w:r>
      <w:r w:rsidR="00941B50">
        <w:rPr>
          <w:sz w:val="28"/>
        </w:rPr>
        <w:t xml:space="preserve">specifically directed his assistance to the organization’s unlawful activities.  </w:t>
      </w:r>
    </w:p>
    <w:p w14:paraId="08C00365" w14:textId="77777777" w:rsidR="000C2051" w:rsidRDefault="000C2051">
      <w:pPr>
        <w:rPr>
          <w:sz w:val="28"/>
        </w:rPr>
      </w:pPr>
    </w:p>
    <w:p w14:paraId="47F9B74C" w14:textId="59D837FB" w:rsidR="00EA1F72" w:rsidRDefault="00AB734E">
      <w:pPr>
        <w:rPr>
          <w:sz w:val="28"/>
        </w:rPr>
      </w:pPr>
      <w:r>
        <w:rPr>
          <w:sz w:val="28"/>
        </w:rPr>
        <w:t xml:space="preserve">The nature of </w:t>
      </w:r>
      <w:r w:rsidR="00213AD5">
        <w:rPr>
          <w:sz w:val="28"/>
        </w:rPr>
        <w:t>the required</w:t>
      </w:r>
      <w:r>
        <w:rPr>
          <w:sz w:val="28"/>
        </w:rPr>
        <w:t xml:space="preserve"> proof will differ, of course, </w:t>
      </w:r>
      <w:r w:rsidR="00213AD5">
        <w:rPr>
          <w:sz w:val="28"/>
        </w:rPr>
        <w:t>from case to case</w:t>
      </w:r>
      <w:r>
        <w:rPr>
          <w:sz w:val="28"/>
        </w:rPr>
        <w:t xml:space="preserve">. </w:t>
      </w:r>
      <w:r w:rsidR="000C2051">
        <w:rPr>
          <w:sz w:val="28"/>
        </w:rPr>
        <w:t>T</w:t>
      </w:r>
      <w:r w:rsidR="00705159">
        <w:rPr>
          <w:sz w:val="28"/>
        </w:rPr>
        <w:t xml:space="preserve">he </w:t>
      </w:r>
      <w:r w:rsidR="003B1E4F">
        <w:rPr>
          <w:sz w:val="28"/>
        </w:rPr>
        <w:t>majority</w:t>
      </w:r>
      <w:r w:rsidR="00705159">
        <w:rPr>
          <w:sz w:val="28"/>
        </w:rPr>
        <w:t xml:space="preserve"> </w:t>
      </w:r>
      <w:r w:rsidR="000C2051">
        <w:rPr>
          <w:sz w:val="28"/>
        </w:rPr>
        <w:t xml:space="preserve">nevertheless </w:t>
      </w:r>
      <w:r w:rsidR="00705159">
        <w:rPr>
          <w:sz w:val="28"/>
        </w:rPr>
        <w:t>mentioned four types of assistance that can</w:t>
      </w:r>
      <w:r w:rsidR="000402B6">
        <w:rPr>
          <w:sz w:val="28"/>
        </w:rPr>
        <w:t xml:space="preserve"> normally</w:t>
      </w:r>
      <w:r w:rsidR="00705159">
        <w:rPr>
          <w:sz w:val="28"/>
        </w:rPr>
        <w:t xml:space="preserve"> be considered circumstantial evidence of specific direction</w:t>
      </w:r>
      <w:r w:rsidR="00941B50">
        <w:rPr>
          <w:sz w:val="28"/>
        </w:rPr>
        <w:t>:</w:t>
      </w:r>
    </w:p>
    <w:p w14:paraId="5334F582" w14:textId="77777777" w:rsidR="00941B50" w:rsidRDefault="00941B50">
      <w:pPr>
        <w:rPr>
          <w:sz w:val="28"/>
        </w:rPr>
      </w:pPr>
    </w:p>
    <w:p w14:paraId="7B8D138A" w14:textId="4F95BBC6" w:rsidR="00941B50" w:rsidRPr="00705159" w:rsidRDefault="00941B50" w:rsidP="00705159">
      <w:pPr>
        <w:pStyle w:val="ListParagraph"/>
        <w:numPr>
          <w:ilvl w:val="0"/>
          <w:numId w:val="7"/>
        </w:numPr>
        <w:rPr>
          <w:sz w:val="28"/>
        </w:rPr>
      </w:pPr>
      <w:r w:rsidRPr="00705159">
        <w:rPr>
          <w:sz w:val="28"/>
        </w:rPr>
        <w:t>The ma</w:t>
      </w:r>
      <w:r w:rsidR="00705159" w:rsidRPr="00705159">
        <w:rPr>
          <w:sz w:val="28"/>
        </w:rPr>
        <w:t>gnitude of the D’s assistance.</w:t>
      </w:r>
    </w:p>
    <w:p w14:paraId="0E124979" w14:textId="77777777" w:rsidR="00941B50" w:rsidRDefault="00941B50">
      <w:pPr>
        <w:rPr>
          <w:sz w:val="28"/>
        </w:rPr>
      </w:pPr>
    </w:p>
    <w:p w14:paraId="1A554609" w14:textId="78A44896" w:rsidR="004C7766" w:rsidRPr="00705159" w:rsidRDefault="004C7766" w:rsidP="00705159">
      <w:pPr>
        <w:pStyle w:val="ListParagraph"/>
        <w:numPr>
          <w:ilvl w:val="0"/>
          <w:numId w:val="7"/>
        </w:numPr>
        <w:rPr>
          <w:sz w:val="28"/>
        </w:rPr>
      </w:pPr>
      <w:r w:rsidRPr="00705159">
        <w:rPr>
          <w:sz w:val="28"/>
        </w:rPr>
        <w:t xml:space="preserve">The kind </w:t>
      </w:r>
      <w:r w:rsidR="00705159" w:rsidRPr="00705159">
        <w:rPr>
          <w:sz w:val="28"/>
        </w:rPr>
        <w:t xml:space="preserve">of assistance provided by the D, particularly logistical assistance. </w:t>
      </w:r>
    </w:p>
    <w:p w14:paraId="3E516DCD" w14:textId="77777777" w:rsidR="00705159" w:rsidRDefault="00705159">
      <w:pPr>
        <w:rPr>
          <w:sz w:val="28"/>
        </w:rPr>
      </w:pPr>
    </w:p>
    <w:p w14:paraId="7D0C62E2" w14:textId="72C561D6" w:rsidR="00941B50" w:rsidRPr="00705159" w:rsidRDefault="00941B50" w:rsidP="00705159">
      <w:pPr>
        <w:pStyle w:val="ListParagraph"/>
        <w:numPr>
          <w:ilvl w:val="0"/>
          <w:numId w:val="7"/>
        </w:numPr>
        <w:rPr>
          <w:sz w:val="28"/>
        </w:rPr>
      </w:pPr>
      <w:r w:rsidRPr="00705159">
        <w:rPr>
          <w:sz w:val="28"/>
        </w:rPr>
        <w:t xml:space="preserve">Evidence that the D deviated from </w:t>
      </w:r>
      <w:r w:rsidR="000C2051">
        <w:rPr>
          <w:sz w:val="28"/>
        </w:rPr>
        <w:t>his</w:t>
      </w:r>
      <w:r w:rsidR="00524E3D">
        <w:rPr>
          <w:sz w:val="28"/>
        </w:rPr>
        <w:t xml:space="preserve"> own</w:t>
      </w:r>
      <w:r w:rsidR="000C2051">
        <w:rPr>
          <w:sz w:val="28"/>
        </w:rPr>
        <w:t xml:space="preserve"> organization’s</w:t>
      </w:r>
      <w:r w:rsidR="004C7766" w:rsidRPr="00705159">
        <w:rPr>
          <w:sz w:val="28"/>
        </w:rPr>
        <w:t xml:space="preserve"> policy of </w:t>
      </w:r>
      <w:r w:rsidRPr="00705159">
        <w:rPr>
          <w:sz w:val="28"/>
        </w:rPr>
        <w:t>support</w:t>
      </w:r>
      <w:r w:rsidR="000C2051">
        <w:rPr>
          <w:sz w:val="28"/>
        </w:rPr>
        <w:t>ing</w:t>
      </w:r>
      <w:r w:rsidRPr="00705159">
        <w:rPr>
          <w:sz w:val="28"/>
        </w:rPr>
        <w:t xml:space="preserve"> only lawful activities.</w:t>
      </w:r>
    </w:p>
    <w:p w14:paraId="4AF3DF90" w14:textId="77777777" w:rsidR="00941B50" w:rsidRDefault="00941B50">
      <w:pPr>
        <w:rPr>
          <w:sz w:val="28"/>
        </w:rPr>
      </w:pPr>
    </w:p>
    <w:p w14:paraId="35DDE9B7" w14:textId="0CDCE253" w:rsidR="005368C4" w:rsidRDefault="00705159" w:rsidP="00705159">
      <w:pPr>
        <w:pStyle w:val="ListParagraph"/>
        <w:numPr>
          <w:ilvl w:val="0"/>
          <w:numId w:val="7"/>
        </w:numPr>
        <w:rPr>
          <w:sz w:val="28"/>
        </w:rPr>
      </w:pPr>
      <w:r w:rsidRPr="00705159">
        <w:rPr>
          <w:sz w:val="28"/>
        </w:rPr>
        <w:t>D’s knowledge of the principal perpetrators’ unlawful activities.</w:t>
      </w:r>
    </w:p>
    <w:p w14:paraId="0CB9ED3B" w14:textId="77777777" w:rsidR="000402B6" w:rsidRPr="000402B6" w:rsidRDefault="000402B6" w:rsidP="000402B6">
      <w:pPr>
        <w:rPr>
          <w:sz w:val="28"/>
        </w:rPr>
      </w:pPr>
    </w:p>
    <w:p w14:paraId="579D358A" w14:textId="5FF0CA70" w:rsidR="00AF4ED0" w:rsidRPr="000F6B2D" w:rsidRDefault="000A5DD7" w:rsidP="000A5DD7">
      <w:pPr>
        <w:jc w:val="center"/>
        <w:rPr>
          <w:b/>
          <w:sz w:val="28"/>
        </w:rPr>
      </w:pPr>
      <w:r w:rsidRPr="000F6B2D">
        <w:rPr>
          <w:b/>
          <w:sz w:val="28"/>
        </w:rPr>
        <w:t>FOUNDATION</w:t>
      </w:r>
    </w:p>
    <w:p w14:paraId="451BE48C" w14:textId="77777777" w:rsidR="00AF4ED0" w:rsidRPr="000F6B2D" w:rsidRDefault="00AF4ED0">
      <w:pPr>
        <w:rPr>
          <w:sz w:val="28"/>
        </w:rPr>
      </w:pPr>
    </w:p>
    <w:p w14:paraId="49B23C62" w14:textId="2081A3DF" w:rsidR="00A90943" w:rsidRDefault="00D51492">
      <w:pPr>
        <w:rPr>
          <w:sz w:val="28"/>
        </w:rPr>
      </w:pPr>
      <w:r>
        <w:rPr>
          <w:sz w:val="28"/>
        </w:rPr>
        <w:t>I now want to turn to the legal foundation of the SDR.</w:t>
      </w:r>
      <w:r w:rsidR="00A90943">
        <w:rPr>
          <w:sz w:val="28"/>
        </w:rPr>
        <w:t xml:space="preserve">  Judge Harhoff’s conspiracy theory depends on the idea that the </w:t>
      </w:r>
      <w:r w:rsidR="00377049">
        <w:rPr>
          <w:sz w:val="28"/>
        </w:rPr>
        <w:t>requirement</w:t>
      </w:r>
      <w:r w:rsidR="00A90943">
        <w:rPr>
          <w:sz w:val="28"/>
        </w:rPr>
        <w:t xml:space="preserve"> is radically new – that it</w:t>
      </w:r>
      <w:r w:rsidR="001E1DD0">
        <w:rPr>
          <w:sz w:val="28"/>
        </w:rPr>
        <w:t xml:space="preserve"> represents</w:t>
      </w:r>
      <w:r w:rsidR="000402B6">
        <w:rPr>
          <w:sz w:val="28"/>
        </w:rPr>
        <w:t>, in his words,</w:t>
      </w:r>
      <w:r w:rsidR="001E1DD0">
        <w:rPr>
          <w:sz w:val="28"/>
        </w:rPr>
        <w:t xml:space="preserve"> a </w:t>
      </w:r>
      <w:r w:rsidR="001E1DD0" w:rsidRPr="000402B6">
        <w:rPr>
          <w:i/>
          <w:sz w:val="28"/>
        </w:rPr>
        <w:t>“step back”</w:t>
      </w:r>
      <w:r w:rsidR="000402B6">
        <w:rPr>
          <w:sz w:val="28"/>
        </w:rPr>
        <w:t xml:space="preserve"> from the ICTY’s </w:t>
      </w:r>
      <w:r w:rsidR="000402B6" w:rsidRPr="000402B6">
        <w:rPr>
          <w:i/>
          <w:sz w:val="28"/>
        </w:rPr>
        <w:t>“set practice.</w:t>
      </w:r>
      <w:r w:rsidR="001E1DD0" w:rsidRPr="000402B6">
        <w:rPr>
          <w:i/>
          <w:sz w:val="28"/>
        </w:rPr>
        <w:t>”</w:t>
      </w:r>
      <w:r w:rsidR="001E1DD0">
        <w:rPr>
          <w:sz w:val="28"/>
        </w:rPr>
        <w:t xml:space="preserve"> </w:t>
      </w:r>
    </w:p>
    <w:p w14:paraId="6677BAAA" w14:textId="77777777" w:rsidR="001E1DD0" w:rsidRDefault="001E1DD0">
      <w:pPr>
        <w:rPr>
          <w:sz w:val="28"/>
        </w:rPr>
      </w:pPr>
    </w:p>
    <w:p w14:paraId="47222B57" w14:textId="4B246215" w:rsidR="001E1DD0" w:rsidRPr="003B1E4F" w:rsidRDefault="001E1DD0">
      <w:pPr>
        <w:rPr>
          <w:sz w:val="28"/>
        </w:rPr>
      </w:pPr>
      <w:r>
        <w:rPr>
          <w:sz w:val="28"/>
        </w:rPr>
        <w:t>But tha</w:t>
      </w:r>
      <w:r w:rsidR="00413E3A">
        <w:rPr>
          <w:sz w:val="28"/>
        </w:rPr>
        <w:t xml:space="preserve">t is simply not the case. </w:t>
      </w:r>
      <w:r w:rsidR="00213AD5">
        <w:rPr>
          <w:sz w:val="28"/>
        </w:rPr>
        <w:t>First, and most obviously</w:t>
      </w:r>
      <w:r w:rsidR="00377049">
        <w:rPr>
          <w:sz w:val="28"/>
        </w:rPr>
        <w:t>,</w:t>
      </w:r>
      <w:r w:rsidR="00413E3A">
        <w:rPr>
          <w:sz w:val="28"/>
        </w:rPr>
        <w:t xml:space="preserve"> the SDR was articulated in the very first </w:t>
      </w:r>
      <w:r w:rsidR="0041250F">
        <w:rPr>
          <w:sz w:val="28"/>
        </w:rPr>
        <w:t>Appeals Chamber</w:t>
      </w:r>
      <w:r w:rsidR="00413E3A">
        <w:rPr>
          <w:sz w:val="28"/>
        </w:rPr>
        <w:t xml:space="preserve"> judgment –</w:t>
      </w:r>
      <w:r w:rsidR="00413E3A" w:rsidRPr="00413E3A">
        <w:rPr>
          <w:i/>
          <w:sz w:val="28"/>
        </w:rPr>
        <w:t>Tadic</w:t>
      </w:r>
      <w:r w:rsidR="003B1E4F">
        <w:rPr>
          <w:sz w:val="28"/>
        </w:rPr>
        <w:t>, decided in 1999:</w:t>
      </w:r>
    </w:p>
    <w:p w14:paraId="7A8AD0FA" w14:textId="77777777" w:rsidR="00413E3A" w:rsidRDefault="00413E3A">
      <w:pPr>
        <w:rPr>
          <w:sz w:val="28"/>
        </w:rPr>
      </w:pPr>
    </w:p>
    <w:p w14:paraId="7942ADBB" w14:textId="111066C4" w:rsidR="002E7F5D" w:rsidRPr="000F6B2D" w:rsidRDefault="002E7F5D" w:rsidP="00413E3A">
      <w:pPr>
        <w:ind w:left="567" w:right="645"/>
      </w:pPr>
      <w:r w:rsidRPr="000F6B2D">
        <w:t xml:space="preserve">The aider and abettor carries out acts </w:t>
      </w:r>
      <w:r w:rsidRPr="0028352F">
        <w:rPr>
          <w:b/>
        </w:rPr>
        <w:t>specifically directed</w:t>
      </w:r>
      <w:r w:rsidRPr="000F6B2D">
        <w:t xml:space="preserve"> to assist, encourage or lend moral support to the perpetration of a certain specific crime (murder, extermination, rape, torture, wanton destruction of civilian property, etc.), and this support has a substantial effect upon</w:t>
      </w:r>
      <w:r w:rsidR="00413E3A">
        <w:t xml:space="preserve"> the perpetration of the crime.</w:t>
      </w:r>
    </w:p>
    <w:p w14:paraId="327F6DD8" w14:textId="77777777" w:rsidR="002E7F5D" w:rsidRDefault="002E7F5D" w:rsidP="002E7F5D"/>
    <w:p w14:paraId="584013A4" w14:textId="50972BC5" w:rsidR="002E7F5D" w:rsidRDefault="00413E3A">
      <w:pPr>
        <w:rPr>
          <w:sz w:val="28"/>
        </w:rPr>
      </w:pPr>
      <w:r w:rsidRPr="00413E3A">
        <w:rPr>
          <w:sz w:val="28"/>
        </w:rPr>
        <w:t>Second, as t</w:t>
      </w:r>
      <w:r>
        <w:rPr>
          <w:sz w:val="28"/>
        </w:rPr>
        <w:t xml:space="preserve">he </w:t>
      </w:r>
      <w:r w:rsidR="003B1E4F">
        <w:rPr>
          <w:sz w:val="28"/>
        </w:rPr>
        <w:t>majority</w:t>
      </w:r>
      <w:r>
        <w:rPr>
          <w:sz w:val="28"/>
        </w:rPr>
        <w:t xml:space="preserve"> </w:t>
      </w:r>
      <w:r w:rsidR="00213AD5">
        <w:rPr>
          <w:sz w:val="28"/>
        </w:rPr>
        <w:t xml:space="preserve">in </w:t>
      </w:r>
      <w:r w:rsidR="00213AD5" w:rsidRPr="00213AD5">
        <w:rPr>
          <w:i/>
          <w:sz w:val="28"/>
        </w:rPr>
        <w:t>Perisic</w:t>
      </w:r>
      <w:r w:rsidR="00213AD5">
        <w:rPr>
          <w:sz w:val="28"/>
        </w:rPr>
        <w:t xml:space="preserve"> </w:t>
      </w:r>
      <w:r>
        <w:rPr>
          <w:sz w:val="28"/>
        </w:rPr>
        <w:t xml:space="preserve">traces in detail, since </w:t>
      </w:r>
      <w:r w:rsidR="003B1E4F" w:rsidRPr="003B1E4F">
        <w:rPr>
          <w:i/>
          <w:sz w:val="28"/>
        </w:rPr>
        <w:t>Tadic</w:t>
      </w:r>
      <w:r w:rsidR="003B1E4F">
        <w:rPr>
          <w:sz w:val="28"/>
        </w:rPr>
        <w:t xml:space="preserve"> </w:t>
      </w:r>
      <w:r w:rsidR="000B2327">
        <w:rPr>
          <w:sz w:val="28"/>
        </w:rPr>
        <w:t xml:space="preserve">only one ICTY or ICTR appeals judgment </w:t>
      </w:r>
      <w:r>
        <w:rPr>
          <w:sz w:val="28"/>
        </w:rPr>
        <w:t xml:space="preserve">has ever questioned the SDR: </w:t>
      </w:r>
      <w:r w:rsidR="00524E3D">
        <w:rPr>
          <w:i/>
          <w:sz w:val="28"/>
        </w:rPr>
        <w:t>Mrkšić</w:t>
      </w:r>
      <w:r>
        <w:rPr>
          <w:sz w:val="28"/>
        </w:rPr>
        <w:t>. And that judgment is questionable:</w:t>
      </w:r>
    </w:p>
    <w:p w14:paraId="17DE5B28" w14:textId="77777777" w:rsidR="00413E3A" w:rsidRDefault="00413E3A">
      <w:pPr>
        <w:rPr>
          <w:sz w:val="28"/>
        </w:rPr>
      </w:pPr>
    </w:p>
    <w:p w14:paraId="03CE927B" w14:textId="4E32D558" w:rsidR="00413E3A" w:rsidRPr="00413E3A" w:rsidRDefault="00413E3A" w:rsidP="00413E3A">
      <w:pPr>
        <w:pStyle w:val="ListParagraph"/>
        <w:numPr>
          <w:ilvl w:val="0"/>
          <w:numId w:val="6"/>
        </w:numPr>
        <w:rPr>
          <w:sz w:val="28"/>
        </w:rPr>
      </w:pPr>
      <w:r w:rsidRPr="00413E3A">
        <w:rPr>
          <w:sz w:val="28"/>
        </w:rPr>
        <w:t xml:space="preserve">It dismissed the SDR in its discussion of the </w:t>
      </w:r>
      <w:r w:rsidR="00524E3D" w:rsidRPr="00524E3D">
        <w:rPr>
          <w:i/>
          <w:sz w:val="28"/>
        </w:rPr>
        <w:t>mens rea</w:t>
      </w:r>
      <w:r w:rsidRPr="00413E3A">
        <w:rPr>
          <w:sz w:val="28"/>
        </w:rPr>
        <w:t xml:space="preserve"> of aiding and abetting</w:t>
      </w:r>
      <w:r w:rsidR="00213AD5">
        <w:rPr>
          <w:sz w:val="28"/>
        </w:rPr>
        <w:t xml:space="preserve">, not the </w:t>
      </w:r>
      <w:r w:rsidR="00524E3D" w:rsidRPr="00524E3D">
        <w:rPr>
          <w:i/>
          <w:sz w:val="28"/>
        </w:rPr>
        <w:t>actus reus</w:t>
      </w:r>
      <w:r w:rsidRPr="00413E3A">
        <w:rPr>
          <w:sz w:val="28"/>
        </w:rPr>
        <w:t>.</w:t>
      </w:r>
    </w:p>
    <w:p w14:paraId="26D61BE7" w14:textId="77777777" w:rsidR="00413E3A" w:rsidRDefault="00413E3A">
      <w:pPr>
        <w:rPr>
          <w:sz w:val="28"/>
        </w:rPr>
      </w:pPr>
    </w:p>
    <w:p w14:paraId="1E2C7EF9" w14:textId="47C4F882" w:rsidR="00413E3A" w:rsidRPr="00413E3A" w:rsidRDefault="00413E3A" w:rsidP="00413E3A">
      <w:pPr>
        <w:pStyle w:val="ListParagraph"/>
        <w:numPr>
          <w:ilvl w:val="0"/>
          <w:numId w:val="6"/>
        </w:numPr>
        <w:rPr>
          <w:sz w:val="28"/>
        </w:rPr>
      </w:pPr>
      <w:r w:rsidRPr="00413E3A">
        <w:rPr>
          <w:sz w:val="28"/>
        </w:rPr>
        <w:t xml:space="preserve">Its stray comment that specific direction was also not part of the </w:t>
      </w:r>
      <w:r w:rsidR="00524E3D" w:rsidRPr="00524E3D">
        <w:rPr>
          <w:i/>
          <w:sz w:val="28"/>
        </w:rPr>
        <w:t>actu</w:t>
      </w:r>
      <w:r w:rsidR="00213AD5" w:rsidRPr="00524E3D">
        <w:rPr>
          <w:i/>
          <w:sz w:val="28"/>
        </w:rPr>
        <w:t>s reus</w:t>
      </w:r>
      <w:r w:rsidRPr="00413E3A">
        <w:rPr>
          <w:sz w:val="28"/>
        </w:rPr>
        <w:t xml:space="preserve"> of aiding and abetting cited </w:t>
      </w:r>
      <w:r w:rsidR="000B2327">
        <w:rPr>
          <w:sz w:val="28"/>
        </w:rPr>
        <w:t xml:space="preserve">only </w:t>
      </w:r>
      <w:r w:rsidRPr="00413E3A">
        <w:rPr>
          <w:i/>
          <w:sz w:val="28"/>
        </w:rPr>
        <w:t xml:space="preserve">Blagojevic and Jokic </w:t>
      </w:r>
      <w:r w:rsidRPr="00413E3A">
        <w:rPr>
          <w:sz w:val="28"/>
        </w:rPr>
        <w:t xml:space="preserve">– </w:t>
      </w:r>
      <w:r w:rsidR="000B2327">
        <w:rPr>
          <w:sz w:val="28"/>
        </w:rPr>
        <w:t xml:space="preserve">in </w:t>
      </w:r>
      <w:r w:rsidRPr="00413E3A">
        <w:rPr>
          <w:sz w:val="28"/>
        </w:rPr>
        <w:t xml:space="preserve">which </w:t>
      </w:r>
      <w:r w:rsidR="000B2327">
        <w:rPr>
          <w:sz w:val="28"/>
        </w:rPr>
        <w:t xml:space="preserve">the </w:t>
      </w:r>
      <w:r w:rsidR="0041250F">
        <w:rPr>
          <w:sz w:val="28"/>
        </w:rPr>
        <w:t>Appeals Chamber</w:t>
      </w:r>
      <w:r w:rsidR="000B2327">
        <w:rPr>
          <w:sz w:val="28"/>
        </w:rPr>
        <w:t xml:space="preserve"> </w:t>
      </w:r>
      <w:r w:rsidRPr="0028352F">
        <w:rPr>
          <w:sz w:val="28"/>
          <w:u w:val="single"/>
        </w:rPr>
        <w:t>had</w:t>
      </w:r>
      <w:r w:rsidRPr="00413E3A">
        <w:rPr>
          <w:sz w:val="28"/>
        </w:rPr>
        <w:t>, in fact, specif</w:t>
      </w:r>
      <w:r>
        <w:rPr>
          <w:sz w:val="28"/>
        </w:rPr>
        <w:t>ically affirmed</w:t>
      </w:r>
      <w:r w:rsidR="0028352F">
        <w:rPr>
          <w:sz w:val="28"/>
        </w:rPr>
        <w:t xml:space="preserve"> that</w:t>
      </w:r>
      <w:r>
        <w:rPr>
          <w:sz w:val="28"/>
        </w:rPr>
        <w:t xml:space="preserve"> the requirement </w:t>
      </w:r>
      <w:r w:rsidR="0028352F">
        <w:rPr>
          <w:sz w:val="28"/>
        </w:rPr>
        <w:t>was</w:t>
      </w:r>
      <w:r>
        <w:rPr>
          <w:sz w:val="28"/>
        </w:rPr>
        <w:t xml:space="preserve"> an element of </w:t>
      </w:r>
      <w:r w:rsidR="00524E3D" w:rsidRPr="00524E3D">
        <w:rPr>
          <w:i/>
          <w:sz w:val="28"/>
        </w:rPr>
        <w:t xml:space="preserve">actus </w:t>
      </w:r>
      <w:r w:rsidR="00213AD5" w:rsidRPr="00524E3D">
        <w:rPr>
          <w:i/>
          <w:sz w:val="28"/>
        </w:rPr>
        <w:t>reus</w:t>
      </w:r>
      <w:r>
        <w:rPr>
          <w:sz w:val="28"/>
        </w:rPr>
        <w:t>.</w:t>
      </w:r>
    </w:p>
    <w:p w14:paraId="367701D0" w14:textId="77777777" w:rsidR="00413E3A" w:rsidRDefault="00413E3A">
      <w:pPr>
        <w:rPr>
          <w:sz w:val="28"/>
        </w:rPr>
      </w:pPr>
    </w:p>
    <w:p w14:paraId="0D993D9A" w14:textId="192D74F6" w:rsidR="00753937" w:rsidRDefault="003B1E4F">
      <w:pPr>
        <w:rPr>
          <w:sz w:val="28"/>
        </w:rPr>
      </w:pPr>
      <w:r>
        <w:rPr>
          <w:sz w:val="28"/>
        </w:rPr>
        <w:t>Third</w:t>
      </w:r>
      <w:r w:rsidR="00E95316" w:rsidRPr="000F6B2D">
        <w:rPr>
          <w:sz w:val="28"/>
        </w:rPr>
        <w:t>,</w:t>
      </w:r>
      <w:r>
        <w:rPr>
          <w:sz w:val="28"/>
        </w:rPr>
        <w:t xml:space="preserve"> the majority did not</w:t>
      </w:r>
      <w:r w:rsidR="00213AD5">
        <w:rPr>
          <w:sz w:val="28"/>
        </w:rPr>
        <w:t xml:space="preserve"> even</w:t>
      </w:r>
      <w:r>
        <w:rPr>
          <w:sz w:val="28"/>
        </w:rPr>
        <w:t xml:space="preserve"> </w:t>
      </w:r>
      <w:r w:rsidR="00524E3D">
        <w:rPr>
          <w:sz w:val="28"/>
        </w:rPr>
        <w:t>raise</w:t>
      </w:r>
      <w:r w:rsidR="00753937">
        <w:rPr>
          <w:sz w:val="28"/>
        </w:rPr>
        <w:t xml:space="preserve"> the SDR</w:t>
      </w:r>
      <w:r w:rsidR="000B2327">
        <w:rPr>
          <w:sz w:val="28"/>
        </w:rPr>
        <w:t xml:space="preserve"> i</w:t>
      </w:r>
      <w:r w:rsidR="00524E3D">
        <w:rPr>
          <w:sz w:val="28"/>
        </w:rPr>
        <w:t>n</w:t>
      </w:r>
      <w:r w:rsidR="000B2327">
        <w:rPr>
          <w:sz w:val="28"/>
        </w:rPr>
        <w:t xml:space="preserve"> the </w:t>
      </w:r>
      <w:r w:rsidR="000B2327" w:rsidRPr="000B2327">
        <w:rPr>
          <w:i/>
          <w:sz w:val="28"/>
        </w:rPr>
        <w:t>Perisic</w:t>
      </w:r>
      <w:r w:rsidR="000B2327">
        <w:rPr>
          <w:sz w:val="28"/>
        </w:rPr>
        <w:t xml:space="preserve"> case</w:t>
      </w:r>
      <w:r>
        <w:rPr>
          <w:sz w:val="28"/>
        </w:rPr>
        <w:t xml:space="preserve"> </w:t>
      </w:r>
      <w:r w:rsidRPr="003B1E4F">
        <w:rPr>
          <w:i/>
          <w:sz w:val="28"/>
        </w:rPr>
        <w:t>sua sponte</w:t>
      </w:r>
      <w:r w:rsidR="0028352F">
        <w:rPr>
          <w:sz w:val="28"/>
        </w:rPr>
        <w:t xml:space="preserve">. On the contrary, its </w:t>
      </w:r>
      <w:r>
        <w:rPr>
          <w:sz w:val="28"/>
        </w:rPr>
        <w:t>analysis basically reproduced</w:t>
      </w:r>
      <w:r w:rsidR="00615119">
        <w:rPr>
          <w:sz w:val="28"/>
        </w:rPr>
        <w:t xml:space="preserve"> Judge Moloto’s dissentin</w:t>
      </w:r>
      <w:r w:rsidR="00753937">
        <w:rPr>
          <w:sz w:val="28"/>
        </w:rPr>
        <w:t>g judgment in the Trial Chamber.</w:t>
      </w:r>
    </w:p>
    <w:p w14:paraId="4B6CAFC9" w14:textId="77777777" w:rsidR="006B4E0B" w:rsidRPr="000F6B2D" w:rsidRDefault="006B4E0B">
      <w:pPr>
        <w:rPr>
          <w:sz w:val="28"/>
        </w:rPr>
      </w:pPr>
    </w:p>
    <w:p w14:paraId="1D3A9CC5" w14:textId="11D71812" w:rsidR="00742AA7" w:rsidRDefault="00BA19DF">
      <w:pPr>
        <w:rPr>
          <w:sz w:val="28"/>
        </w:rPr>
      </w:pPr>
      <w:r>
        <w:rPr>
          <w:sz w:val="28"/>
        </w:rPr>
        <w:t>Fourth, and finally, the adoption of the SDR</w:t>
      </w:r>
      <w:r w:rsidR="001644FA" w:rsidRPr="000F6B2D">
        <w:rPr>
          <w:sz w:val="28"/>
        </w:rPr>
        <w:t xml:space="preserve"> was</w:t>
      </w:r>
      <w:r w:rsidR="000B2327">
        <w:rPr>
          <w:sz w:val="28"/>
        </w:rPr>
        <w:t xml:space="preserve"> also</w:t>
      </w:r>
      <w:r w:rsidR="001644FA" w:rsidRPr="000F6B2D">
        <w:rPr>
          <w:sz w:val="28"/>
        </w:rPr>
        <w:t xml:space="preserve"> </w:t>
      </w:r>
      <w:r w:rsidR="00E95316" w:rsidRPr="000F6B2D">
        <w:rPr>
          <w:sz w:val="28"/>
        </w:rPr>
        <w:t>foreshadowed by</w:t>
      </w:r>
      <w:r w:rsidR="00213AD5">
        <w:rPr>
          <w:sz w:val="28"/>
        </w:rPr>
        <w:t xml:space="preserve"> the concurring opinions of</w:t>
      </w:r>
      <w:r w:rsidR="00634666" w:rsidRPr="000F6B2D">
        <w:rPr>
          <w:sz w:val="28"/>
        </w:rPr>
        <w:t xml:space="preserve"> </w:t>
      </w:r>
      <w:r w:rsidR="00213AD5">
        <w:rPr>
          <w:sz w:val="28"/>
        </w:rPr>
        <w:t>Judge Guney and Judge Agius</w:t>
      </w:r>
      <w:r w:rsidR="00634666" w:rsidRPr="000F6B2D">
        <w:rPr>
          <w:sz w:val="28"/>
        </w:rPr>
        <w:t xml:space="preserve"> </w:t>
      </w:r>
      <w:r w:rsidR="00BB1697" w:rsidRPr="000F6B2D">
        <w:rPr>
          <w:sz w:val="28"/>
        </w:rPr>
        <w:t xml:space="preserve">in </w:t>
      </w:r>
      <w:r w:rsidR="005A3BD1" w:rsidRPr="005A3BD1">
        <w:rPr>
          <w:i/>
          <w:sz w:val="28"/>
        </w:rPr>
        <w:t>Lukic</w:t>
      </w:r>
      <w:r w:rsidR="005A3BD1">
        <w:rPr>
          <w:sz w:val="28"/>
        </w:rPr>
        <w:t xml:space="preserve">.  Both affirmed the SDR and criticized the </w:t>
      </w:r>
      <w:r w:rsidR="0041250F">
        <w:rPr>
          <w:sz w:val="28"/>
        </w:rPr>
        <w:t>Appeals Chamber</w:t>
      </w:r>
      <w:r w:rsidR="005A3BD1">
        <w:rPr>
          <w:sz w:val="28"/>
        </w:rPr>
        <w:t xml:space="preserve">’s earlier judgment in </w:t>
      </w:r>
      <w:r w:rsidR="005A3BD1" w:rsidRPr="005A3BD1">
        <w:rPr>
          <w:i/>
          <w:sz w:val="28"/>
        </w:rPr>
        <w:t xml:space="preserve">Mrkšić </w:t>
      </w:r>
      <w:r w:rsidR="005A3BD1">
        <w:rPr>
          <w:sz w:val="28"/>
        </w:rPr>
        <w:t xml:space="preserve">on exactly the same grounds as the </w:t>
      </w:r>
      <w:r w:rsidR="00213AD5">
        <w:rPr>
          <w:sz w:val="28"/>
        </w:rPr>
        <w:t>majority</w:t>
      </w:r>
      <w:r w:rsidR="005A3BD1">
        <w:rPr>
          <w:sz w:val="28"/>
        </w:rPr>
        <w:t xml:space="preserve"> in </w:t>
      </w:r>
      <w:r w:rsidR="005A3BD1" w:rsidRPr="005A3BD1">
        <w:rPr>
          <w:i/>
          <w:sz w:val="28"/>
        </w:rPr>
        <w:t>Perisic</w:t>
      </w:r>
      <w:r w:rsidR="005A3BD1">
        <w:rPr>
          <w:sz w:val="28"/>
        </w:rPr>
        <w:t xml:space="preserve">. </w:t>
      </w:r>
    </w:p>
    <w:p w14:paraId="4359D6D2" w14:textId="77777777" w:rsidR="005A3BD1" w:rsidRDefault="005A3BD1">
      <w:pPr>
        <w:rPr>
          <w:sz w:val="28"/>
        </w:rPr>
      </w:pPr>
    </w:p>
    <w:p w14:paraId="68931931" w14:textId="3871B835" w:rsidR="005A3BD1" w:rsidRPr="005A3BD1" w:rsidRDefault="0028352F" w:rsidP="005A3BD1">
      <w:pPr>
        <w:pStyle w:val="ListParagraph"/>
        <w:numPr>
          <w:ilvl w:val="0"/>
          <w:numId w:val="8"/>
        </w:numPr>
        <w:rPr>
          <w:sz w:val="28"/>
        </w:rPr>
      </w:pPr>
      <w:r>
        <w:rPr>
          <w:sz w:val="28"/>
        </w:rPr>
        <w:t xml:space="preserve">And, of course, </w:t>
      </w:r>
      <w:r w:rsidR="007757E8">
        <w:rPr>
          <w:sz w:val="28"/>
        </w:rPr>
        <w:t xml:space="preserve">Judge Agius </w:t>
      </w:r>
      <w:r w:rsidR="005A3BD1" w:rsidRPr="005A3BD1">
        <w:rPr>
          <w:sz w:val="28"/>
        </w:rPr>
        <w:t>was</w:t>
      </w:r>
      <w:r>
        <w:rPr>
          <w:sz w:val="28"/>
        </w:rPr>
        <w:t xml:space="preserve"> </w:t>
      </w:r>
      <w:r w:rsidR="005A3BD1" w:rsidRPr="005A3BD1">
        <w:rPr>
          <w:sz w:val="28"/>
        </w:rPr>
        <w:t xml:space="preserve">a member of the </w:t>
      </w:r>
      <w:r w:rsidR="005A3BD1" w:rsidRPr="005A3BD1">
        <w:rPr>
          <w:i/>
          <w:sz w:val="28"/>
        </w:rPr>
        <w:t>Perisic</w:t>
      </w:r>
      <w:r w:rsidR="005A3BD1" w:rsidRPr="005A3BD1">
        <w:rPr>
          <w:sz w:val="28"/>
        </w:rPr>
        <w:t xml:space="preserve"> majority.</w:t>
      </w:r>
    </w:p>
    <w:p w14:paraId="19DA62FC" w14:textId="77777777" w:rsidR="00742AA7" w:rsidRDefault="00742AA7">
      <w:pPr>
        <w:rPr>
          <w:sz w:val="28"/>
        </w:rPr>
      </w:pPr>
    </w:p>
    <w:p w14:paraId="6F14F96A" w14:textId="6B8D8D39" w:rsidR="00742AA7" w:rsidRDefault="00742AA7" w:rsidP="00742AA7">
      <w:pPr>
        <w:rPr>
          <w:sz w:val="28"/>
        </w:rPr>
      </w:pPr>
      <w:r>
        <w:rPr>
          <w:sz w:val="28"/>
        </w:rPr>
        <w:t xml:space="preserve">Given all this, </w:t>
      </w:r>
      <w:r w:rsidR="005A3BD1">
        <w:rPr>
          <w:sz w:val="28"/>
        </w:rPr>
        <w:t xml:space="preserve">I think </w:t>
      </w:r>
      <w:r w:rsidR="00B13822">
        <w:rPr>
          <w:sz w:val="28"/>
        </w:rPr>
        <w:t>you would have to be something of a specific-direction truther to believe that President Meron</w:t>
      </w:r>
      <w:r w:rsidR="007757E8">
        <w:rPr>
          <w:sz w:val="28"/>
        </w:rPr>
        <w:t xml:space="preserve"> </w:t>
      </w:r>
      <w:r w:rsidR="00B13822">
        <w:rPr>
          <w:sz w:val="28"/>
        </w:rPr>
        <w:t>invented the SDR and forced his fellow judges to adopt it.</w:t>
      </w:r>
    </w:p>
    <w:p w14:paraId="17E8858F" w14:textId="77777777" w:rsidR="00B13822" w:rsidRDefault="00B13822" w:rsidP="00742AA7">
      <w:pPr>
        <w:rPr>
          <w:sz w:val="28"/>
        </w:rPr>
      </w:pPr>
    </w:p>
    <w:p w14:paraId="35804ADC" w14:textId="6A20D2AE" w:rsidR="00B13822" w:rsidRPr="007757E8" w:rsidRDefault="00213AD5" w:rsidP="00742AA7">
      <w:pPr>
        <w:rPr>
          <w:sz w:val="28"/>
        </w:rPr>
      </w:pPr>
      <w:r>
        <w:rPr>
          <w:sz w:val="28"/>
        </w:rPr>
        <w:t>Now let me</w:t>
      </w:r>
      <w:r w:rsidR="00B13822" w:rsidRPr="007757E8">
        <w:rPr>
          <w:sz w:val="28"/>
        </w:rPr>
        <w:t xml:space="preserve"> turn to </w:t>
      </w:r>
      <w:r w:rsidR="00126CBA">
        <w:rPr>
          <w:sz w:val="28"/>
        </w:rPr>
        <w:t xml:space="preserve">a </w:t>
      </w:r>
      <w:r w:rsidR="0028352F">
        <w:rPr>
          <w:sz w:val="28"/>
        </w:rPr>
        <w:t>more important</w:t>
      </w:r>
      <w:r w:rsidR="00B13822" w:rsidRPr="007757E8">
        <w:rPr>
          <w:sz w:val="28"/>
        </w:rPr>
        <w:t xml:space="preserve"> challenge to the SDR’s legal foundation: </w:t>
      </w:r>
      <w:r w:rsidR="00126CBA">
        <w:rPr>
          <w:sz w:val="28"/>
        </w:rPr>
        <w:t xml:space="preserve">namely, </w:t>
      </w:r>
      <w:r w:rsidR="00B13822" w:rsidRPr="007757E8">
        <w:rPr>
          <w:sz w:val="28"/>
        </w:rPr>
        <w:t xml:space="preserve">the claim that the requirement </w:t>
      </w:r>
      <w:r w:rsidR="00126CBA">
        <w:rPr>
          <w:sz w:val="28"/>
        </w:rPr>
        <w:t xml:space="preserve">has no </w:t>
      </w:r>
      <w:r w:rsidR="00524E3D">
        <w:rPr>
          <w:sz w:val="28"/>
        </w:rPr>
        <w:t>basis</w:t>
      </w:r>
      <w:r w:rsidR="00126CBA">
        <w:rPr>
          <w:sz w:val="28"/>
        </w:rPr>
        <w:t xml:space="preserve"> in</w:t>
      </w:r>
      <w:r w:rsidR="00B13822" w:rsidRPr="007757E8">
        <w:rPr>
          <w:sz w:val="28"/>
        </w:rPr>
        <w:t xml:space="preserve"> customary international law.</w:t>
      </w:r>
      <w:r w:rsidR="0028352F">
        <w:rPr>
          <w:sz w:val="28"/>
        </w:rPr>
        <w:t xml:space="preserve"> </w:t>
      </w:r>
      <w:r w:rsidR="007757E8" w:rsidRPr="007757E8">
        <w:rPr>
          <w:sz w:val="28"/>
        </w:rPr>
        <w:t>This was, of course, the position</w:t>
      </w:r>
      <w:r w:rsidR="0028352F">
        <w:rPr>
          <w:sz w:val="28"/>
        </w:rPr>
        <w:t xml:space="preserve"> recently</w:t>
      </w:r>
      <w:r w:rsidR="007757E8" w:rsidRPr="007757E8">
        <w:rPr>
          <w:sz w:val="28"/>
        </w:rPr>
        <w:t xml:space="preserve"> </w:t>
      </w:r>
      <w:r>
        <w:rPr>
          <w:sz w:val="28"/>
        </w:rPr>
        <w:t>taken</w:t>
      </w:r>
      <w:r w:rsidR="00524E3D">
        <w:rPr>
          <w:sz w:val="28"/>
        </w:rPr>
        <w:t xml:space="preserve"> by the SCSL</w:t>
      </w:r>
      <w:r w:rsidR="007757E8" w:rsidRPr="007757E8">
        <w:rPr>
          <w:sz w:val="28"/>
        </w:rPr>
        <w:t xml:space="preserve"> Appeals Chamber in the </w:t>
      </w:r>
      <w:r w:rsidR="007757E8" w:rsidRPr="007757E8">
        <w:rPr>
          <w:i/>
          <w:sz w:val="28"/>
        </w:rPr>
        <w:t>Taylor</w:t>
      </w:r>
      <w:r w:rsidR="0028352F">
        <w:rPr>
          <w:sz w:val="28"/>
        </w:rPr>
        <w:t xml:space="preserve"> case. Here is the relevant paragraph:</w:t>
      </w:r>
    </w:p>
    <w:p w14:paraId="6A140E53" w14:textId="77777777" w:rsidR="00742AA7" w:rsidRDefault="00742AA7">
      <w:pPr>
        <w:rPr>
          <w:sz w:val="28"/>
        </w:rPr>
      </w:pPr>
    </w:p>
    <w:p w14:paraId="458F66BC" w14:textId="717B85F0" w:rsidR="00143DF7" w:rsidRPr="007757E8" w:rsidRDefault="00143DF7" w:rsidP="007757E8">
      <w:pPr>
        <w:ind w:left="567" w:right="645"/>
      </w:pPr>
      <w:r w:rsidRPr="007757E8">
        <w:t>The Perišić Appea</w:t>
      </w:r>
      <w:r w:rsidR="00E0294B" w:rsidRPr="007757E8">
        <w:t>ls Chamber did not assert that specific direction</w:t>
      </w:r>
      <w:r w:rsidRPr="007757E8">
        <w:t xml:space="preserve"> is an element under customary international law. Its analysis was limited to its prior holdings and the holdings of the ICTR Appeals C</w:t>
      </w:r>
      <w:r w:rsidR="009B69B5">
        <w:t xml:space="preserve">hamber, which is the same body…. </w:t>
      </w:r>
      <w:r w:rsidRPr="007757E8">
        <w:t>In the absence of any discussion of customary international law, it is presumed that the ICTY Appeals Chamber in Perišić was only identifying and applying internally binding precedent.</w:t>
      </w:r>
    </w:p>
    <w:p w14:paraId="1EF08169" w14:textId="77777777" w:rsidR="00143DF7" w:rsidRDefault="00143DF7">
      <w:pPr>
        <w:rPr>
          <w:sz w:val="28"/>
        </w:rPr>
      </w:pPr>
    </w:p>
    <w:p w14:paraId="545423D3" w14:textId="4DDAE477" w:rsidR="00C4432A" w:rsidRPr="00CC2906" w:rsidRDefault="00C4432A" w:rsidP="00C4432A">
      <w:pPr>
        <w:rPr>
          <w:i/>
          <w:sz w:val="28"/>
        </w:rPr>
      </w:pPr>
      <w:r>
        <w:rPr>
          <w:sz w:val="28"/>
        </w:rPr>
        <w:t xml:space="preserve">There are two problems with this argument. To begin with, it </w:t>
      </w:r>
      <w:r w:rsidR="0028352F">
        <w:rPr>
          <w:sz w:val="28"/>
        </w:rPr>
        <w:t xml:space="preserve">directly </w:t>
      </w:r>
      <w:r>
        <w:rPr>
          <w:sz w:val="28"/>
        </w:rPr>
        <w:t xml:space="preserve">accuses the majority of deliberately </w:t>
      </w:r>
      <w:r w:rsidR="00143DF7">
        <w:rPr>
          <w:sz w:val="28"/>
        </w:rPr>
        <w:t>ignoring its own mandate.</w:t>
      </w:r>
      <w:r>
        <w:rPr>
          <w:sz w:val="28"/>
        </w:rPr>
        <w:t xml:space="preserve">  As is well known, the ICTY is limited to applying </w:t>
      </w:r>
      <w:r w:rsidRPr="00CC2906">
        <w:rPr>
          <w:i/>
          <w:sz w:val="28"/>
        </w:rPr>
        <w:t>“rules of international humanitarian law which are beyond any doubt part of customary law.”</w:t>
      </w:r>
    </w:p>
    <w:p w14:paraId="455C5C90" w14:textId="7D579E3D" w:rsidR="00C4432A" w:rsidRDefault="00C4432A" w:rsidP="00C4432A">
      <w:pPr>
        <w:rPr>
          <w:sz w:val="28"/>
        </w:rPr>
      </w:pPr>
      <w:r>
        <w:rPr>
          <w:sz w:val="28"/>
        </w:rPr>
        <w:t>The rationale for that limit is, of course, the need for the ICTY to respect the principle of non-retroactivity. The Secretary-General’s Report on SC Res. 808 makes that clear:</w:t>
      </w:r>
    </w:p>
    <w:p w14:paraId="4B17A191" w14:textId="77777777" w:rsidR="00C4432A" w:rsidRDefault="00C4432A" w:rsidP="00143DF7">
      <w:r>
        <w:t xml:space="preserve"> </w:t>
      </w:r>
    </w:p>
    <w:p w14:paraId="352D5816" w14:textId="679A1DCE" w:rsidR="00143DF7" w:rsidRPr="000F6B2D" w:rsidRDefault="00C4432A" w:rsidP="00C4432A">
      <w:pPr>
        <w:ind w:left="567" w:right="645"/>
      </w:pPr>
      <w:r w:rsidRPr="0028352F">
        <w:rPr>
          <w:b/>
        </w:rPr>
        <w:t>T</w:t>
      </w:r>
      <w:r w:rsidR="00143DF7" w:rsidRPr="0028352F">
        <w:rPr>
          <w:b/>
        </w:rPr>
        <w:t xml:space="preserve">he application of the principle </w:t>
      </w:r>
      <w:r w:rsidR="00143DF7" w:rsidRPr="0028352F">
        <w:rPr>
          <w:b/>
          <w:i/>
        </w:rPr>
        <w:t>nullum crimen sine lege</w:t>
      </w:r>
      <w:r w:rsidR="00143DF7" w:rsidRPr="0028352F">
        <w:rPr>
          <w:b/>
        </w:rPr>
        <w:t xml:space="preserve"> requires</w:t>
      </w:r>
      <w:r w:rsidR="00143DF7" w:rsidRPr="000F6B2D">
        <w:t xml:space="preserve"> that the </w:t>
      </w:r>
      <w:r w:rsidR="00126CBA">
        <w:t xml:space="preserve">Tribunal </w:t>
      </w:r>
      <w:r w:rsidR="00143DF7" w:rsidRPr="000F6B2D">
        <w:t>should apply rules of</w:t>
      </w:r>
      <w:r w:rsidR="00213AD5">
        <w:t xml:space="preserve"> international humanitarian law </w:t>
      </w:r>
      <w:r w:rsidR="00143DF7" w:rsidRPr="000F6B2D">
        <w:t>which are beyond a</w:t>
      </w:r>
      <w:r>
        <w:t>ny doubt part of customary law.</w:t>
      </w:r>
    </w:p>
    <w:p w14:paraId="371D78BF" w14:textId="77777777" w:rsidR="001E575B" w:rsidRDefault="001E575B">
      <w:pPr>
        <w:rPr>
          <w:sz w:val="28"/>
        </w:rPr>
      </w:pPr>
    </w:p>
    <w:p w14:paraId="3A7EC88A" w14:textId="1591B0A8" w:rsidR="00C4432A" w:rsidRDefault="00C4432A">
      <w:pPr>
        <w:rPr>
          <w:sz w:val="28"/>
        </w:rPr>
      </w:pPr>
      <w:r>
        <w:rPr>
          <w:sz w:val="28"/>
        </w:rPr>
        <w:t xml:space="preserve">And that leads the more fundamental criticism of the SCSL’s rationale for </w:t>
      </w:r>
      <w:r w:rsidR="00524E3D">
        <w:rPr>
          <w:sz w:val="28"/>
        </w:rPr>
        <w:t>rejecting</w:t>
      </w:r>
      <w:r>
        <w:rPr>
          <w:sz w:val="28"/>
        </w:rPr>
        <w:t xml:space="preserve"> the SDR</w:t>
      </w:r>
      <w:r w:rsidR="0028352F">
        <w:rPr>
          <w:sz w:val="28"/>
        </w:rPr>
        <w:t>, one that I cannot emphasize more strongly</w:t>
      </w:r>
      <w:r>
        <w:rPr>
          <w:sz w:val="28"/>
        </w:rPr>
        <w:t>:</w:t>
      </w:r>
      <w:r w:rsidR="0028352F">
        <w:rPr>
          <w:sz w:val="28"/>
        </w:rPr>
        <w:t xml:space="preserve"> the ICTY does</w:t>
      </w:r>
      <w:r w:rsidRPr="00C4432A">
        <w:rPr>
          <w:sz w:val="28"/>
        </w:rPr>
        <w:t xml:space="preserve"> no</w:t>
      </w:r>
      <w:r w:rsidR="0028352F">
        <w:rPr>
          <w:sz w:val="28"/>
        </w:rPr>
        <w:t>t</w:t>
      </w:r>
      <w:r w:rsidRPr="00C4432A">
        <w:rPr>
          <w:sz w:val="28"/>
        </w:rPr>
        <w:t xml:space="preserve"> need to find a customary basis for a doctrine that </w:t>
      </w:r>
      <w:r w:rsidRPr="00126CBA">
        <w:rPr>
          <w:sz w:val="28"/>
          <w:u w:val="single"/>
        </w:rPr>
        <w:t>narrows</w:t>
      </w:r>
      <w:r w:rsidRPr="00C4432A">
        <w:rPr>
          <w:sz w:val="28"/>
        </w:rPr>
        <w:t xml:space="preserve">, rather than </w:t>
      </w:r>
      <w:r w:rsidRPr="00126CBA">
        <w:rPr>
          <w:sz w:val="28"/>
          <w:u w:val="single"/>
        </w:rPr>
        <w:t>expands</w:t>
      </w:r>
      <w:r w:rsidRPr="00C4432A">
        <w:rPr>
          <w:sz w:val="28"/>
        </w:rPr>
        <w:t>,</w:t>
      </w:r>
      <w:r w:rsidR="0028352F">
        <w:rPr>
          <w:sz w:val="28"/>
        </w:rPr>
        <w:t xml:space="preserve"> a D’s</w:t>
      </w:r>
      <w:r w:rsidRPr="00C4432A">
        <w:rPr>
          <w:sz w:val="28"/>
        </w:rPr>
        <w:t xml:space="preserve"> criminal responsibility</w:t>
      </w:r>
      <w:r w:rsidR="0028352F">
        <w:rPr>
          <w:sz w:val="28"/>
        </w:rPr>
        <w:t xml:space="preserve">.  </w:t>
      </w:r>
      <w:r w:rsidR="00C0738F">
        <w:rPr>
          <w:sz w:val="28"/>
        </w:rPr>
        <w:t>T</w:t>
      </w:r>
      <w:r w:rsidR="0028352F">
        <w:rPr>
          <w:sz w:val="28"/>
        </w:rPr>
        <w:t>hat is precisely what the</w:t>
      </w:r>
      <w:r>
        <w:rPr>
          <w:sz w:val="28"/>
        </w:rPr>
        <w:t xml:space="preserve"> SDR</w:t>
      </w:r>
      <w:r w:rsidR="0028352F">
        <w:rPr>
          <w:sz w:val="28"/>
        </w:rPr>
        <w:t xml:space="preserve"> does – it</w:t>
      </w:r>
      <w:r>
        <w:rPr>
          <w:sz w:val="28"/>
        </w:rPr>
        <w:t xml:space="preserve"> makes it </w:t>
      </w:r>
      <w:r w:rsidRPr="0092373F">
        <w:rPr>
          <w:sz w:val="28"/>
          <w:u w:val="single"/>
        </w:rPr>
        <w:t>more difficult</w:t>
      </w:r>
      <w:r>
        <w:rPr>
          <w:sz w:val="28"/>
        </w:rPr>
        <w:t xml:space="preserve"> to convict a </w:t>
      </w:r>
      <w:r w:rsidR="0028352F">
        <w:rPr>
          <w:sz w:val="28"/>
        </w:rPr>
        <w:t>D</w:t>
      </w:r>
      <w:r>
        <w:rPr>
          <w:sz w:val="28"/>
        </w:rPr>
        <w:t xml:space="preserve"> of aiding and abetting; it does not make it </w:t>
      </w:r>
      <w:r w:rsidRPr="0092373F">
        <w:rPr>
          <w:sz w:val="28"/>
          <w:u w:val="single"/>
        </w:rPr>
        <w:t>easier</w:t>
      </w:r>
      <w:r>
        <w:rPr>
          <w:sz w:val="28"/>
        </w:rPr>
        <w:t xml:space="preserve">.  The </w:t>
      </w:r>
      <w:r w:rsidRPr="00C4432A">
        <w:rPr>
          <w:i/>
          <w:sz w:val="28"/>
        </w:rPr>
        <w:t>Perisic</w:t>
      </w:r>
      <w:r>
        <w:rPr>
          <w:sz w:val="28"/>
        </w:rPr>
        <w:t xml:space="preserve"> majority’s decision to adopt the requirement thus does not </w:t>
      </w:r>
      <w:r w:rsidR="00524E3D">
        <w:rPr>
          <w:sz w:val="28"/>
        </w:rPr>
        <w:t>implicate the</w:t>
      </w:r>
      <w:r>
        <w:rPr>
          <w:sz w:val="28"/>
        </w:rPr>
        <w:t xml:space="preserve"> </w:t>
      </w:r>
      <w:r w:rsidRPr="00C4432A">
        <w:rPr>
          <w:i/>
          <w:sz w:val="28"/>
        </w:rPr>
        <w:t>nullum crimen</w:t>
      </w:r>
      <w:r w:rsidR="0092373F">
        <w:rPr>
          <w:sz w:val="28"/>
        </w:rPr>
        <w:t xml:space="preserve"> </w:t>
      </w:r>
      <w:r w:rsidR="00524E3D">
        <w:rPr>
          <w:sz w:val="28"/>
        </w:rPr>
        <w:t>principle</w:t>
      </w:r>
      <w:r w:rsidR="0092373F">
        <w:rPr>
          <w:sz w:val="28"/>
        </w:rPr>
        <w:t xml:space="preserve">, making it irrelevant whether the SDR has an adequate </w:t>
      </w:r>
      <w:r w:rsidR="00524E3D">
        <w:rPr>
          <w:sz w:val="28"/>
        </w:rPr>
        <w:t>basis</w:t>
      </w:r>
      <w:r w:rsidR="0092373F">
        <w:rPr>
          <w:sz w:val="28"/>
        </w:rPr>
        <w:t xml:space="preserve"> in customary international law.</w:t>
      </w:r>
    </w:p>
    <w:p w14:paraId="152058FA" w14:textId="77777777" w:rsidR="00CC2906" w:rsidRDefault="00CC2906">
      <w:pPr>
        <w:rPr>
          <w:sz w:val="28"/>
        </w:rPr>
      </w:pPr>
    </w:p>
    <w:p w14:paraId="69294754" w14:textId="3E53C509" w:rsidR="0092373F" w:rsidRDefault="0028352F">
      <w:pPr>
        <w:rPr>
          <w:sz w:val="28"/>
        </w:rPr>
      </w:pPr>
      <w:r>
        <w:rPr>
          <w:sz w:val="28"/>
        </w:rPr>
        <w:t>Now, t</w:t>
      </w:r>
      <w:r w:rsidR="0092373F">
        <w:rPr>
          <w:sz w:val="28"/>
        </w:rPr>
        <w:t xml:space="preserve">o be clear, </w:t>
      </w:r>
      <w:r w:rsidR="00126CBA">
        <w:rPr>
          <w:sz w:val="28"/>
        </w:rPr>
        <w:t>the irrelevance of custom</w:t>
      </w:r>
      <w:r w:rsidR="0092373F">
        <w:rPr>
          <w:sz w:val="28"/>
        </w:rPr>
        <w:t xml:space="preserve"> does </w:t>
      </w:r>
      <w:r w:rsidR="0092373F" w:rsidRPr="0092373F">
        <w:rPr>
          <w:sz w:val="28"/>
        </w:rPr>
        <w:t>not</w:t>
      </w:r>
      <w:r w:rsidR="0092373F">
        <w:rPr>
          <w:sz w:val="28"/>
        </w:rPr>
        <w:t xml:space="preserve"> mean</w:t>
      </w:r>
      <w:r w:rsidR="00126CBA">
        <w:rPr>
          <w:sz w:val="28"/>
        </w:rPr>
        <w:t xml:space="preserve"> that</w:t>
      </w:r>
      <w:r w:rsidR="0092373F">
        <w:rPr>
          <w:sz w:val="28"/>
        </w:rPr>
        <w:t xml:space="preserve"> the majority </w:t>
      </w:r>
      <w:r w:rsidR="0092373F" w:rsidRPr="0092373F">
        <w:rPr>
          <w:sz w:val="28"/>
          <w:u w:val="single"/>
        </w:rPr>
        <w:t>should</w:t>
      </w:r>
      <w:r w:rsidR="0092373F">
        <w:rPr>
          <w:sz w:val="28"/>
        </w:rPr>
        <w:t xml:space="preserve"> have adopted the requirement.  It </w:t>
      </w:r>
      <w:r w:rsidR="00CC2906">
        <w:rPr>
          <w:sz w:val="28"/>
        </w:rPr>
        <w:t xml:space="preserve">simply </w:t>
      </w:r>
      <w:r w:rsidR="0092373F">
        <w:rPr>
          <w:sz w:val="28"/>
        </w:rPr>
        <w:t>means that the issue is one of criminal-law theory, not customary international law. In other words</w:t>
      </w:r>
      <w:r w:rsidR="00126CBA">
        <w:rPr>
          <w:sz w:val="28"/>
        </w:rPr>
        <w:t>, the question we must answer is this</w:t>
      </w:r>
      <w:r w:rsidR="0092373F">
        <w:rPr>
          <w:sz w:val="28"/>
        </w:rPr>
        <w:t xml:space="preserve">: does the normative structure of aiding and abetting require adopting the SDR in the context of </w:t>
      </w:r>
      <w:r w:rsidR="00126CBA">
        <w:rPr>
          <w:sz w:val="28"/>
        </w:rPr>
        <w:t>neutral</w:t>
      </w:r>
      <w:r w:rsidR="0092373F">
        <w:rPr>
          <w:sz w:val="28"/>
        </w:rPr>
        <w:t xml:space="preserve"> assistance to an organization </w:t>
      </w:r>
      <w:r w:rsidR="004657C5">
        <w:rPr>
          <w:sz w:val="28"/>
        </w:rPr>
        <w:t xml:space="preserve">that is </w:t>
      </w:r>
      <w:r w:rsidR="0092373F">
        <w:rPr>
          <w:sz w:val="28"/>
        </w:rPr>
        <w:t>involved in both lawful and unlawful activities?</w:t>
      </w:r>
    </w:p>
    <w:p w14:paraId="42081146" w14:textId="77777777" w:rsidR="00F47F51" w:rsidRPr="000F6B2D" w:rsidRDefault="00F47F51">
      <w:pPr>
        <w:rPr>
          <w:sz w:val="28"/>
        </w:rPr>
      </w:pPr>
    </w:p>
    <w:p w14:paraId="4A8B7E6D" w14:textId="6B566C7F" w:rsidR="00F47F51" w:rsidRPr="000F6B2D" w:rsidRDefault="000A5DD7" w:rsidP="000A5DD7">
      <w:pPr>
        <w:jc w:val="center"/>
        <w:rPr>
          <w:b/>
          <w:sz w:val="28"/>
        </w:rPr>
      </w:pPr>
      <w:r w:rsidRPr="000F6B2D">
        <w:rPr>
          <w:b/>
          <w:sz w:val="28"/>
        </w:rPr>
        <w:t>JUSTIFICATION</w:t>
      </w:r>
    </w:p>
    <w:p w14:paraId="647DE6D3" w14:textId="77777777" w:rsidR="00F47F51" w:rsidRDefault="00F47F51">
      <w:pPr>
        <w:rPr>
          <w:sz w:val="28"/>
        </w:rPr>
      </w:pPr>
    </w:p>
    <w:p w14:paraId="40F67DC9" w14:textId="7BC80D1E" w:rsidR="0092373F" w:rsidRDefault="0092373F">
      <w:pPr>
        <w:rPr>
          <w:sz w:val="28"/>
        </w:rPr>
      </w:pPr>
      <w:r>
        <w:rPr>
          <w:sz w:val="28"/>
        </w:rPr>
        <w:t>In my view – and obviously in the majority</w:t>
      </w:r>
      <w:r w:rsidR="001E575B">
        <w:rPr>
          <w:sz w:val="28"/>
        </w:rPr>
        <w:t>’s view, as well</w:t>
      </w:r>
      <w:r>
        <w:rPr>
          <w:sz w:val="28"/>
        </w:rPr>
        <w:t xml:space="preserve"> – the answer is yes.</w:t>
      </w:r>
    </w:p>
    <w:p w14:paraId="7D3CA63C" w14:textId="77777777" w:rsidR="006A1A2A" w:rsidRDefault="006A1A2A">
      <w:pPr>
        <w:rPr>
          <w:sz w:val="28"/>
        </w:rPr>
      </w:pPr>
    </w:p>
    <w:p w14:paraId="7B035691" w14:textId="71D03530" w:rsidR="006A1A2A" w:rsidRDefault="006A1A2A">
      <w:pPr>
        <w:rPr>
          <w:sz w:val="28"/>
        </w:rPr>
      </w:pPr>
      <w:r>
        <w:rPr>
          <w:sz w:val="28"/>
        </w:rPr>
        <w:t xml:space="preserve">The first thing to note is that this was an issue of first impression for the </w:t>
      </w:r>
      <w:r w:rsidR="0041250F">
        <w:rPr>
          <w:sz w:val="28"/>
        </w:rPr>
        <w:t>Appeals Chamber</w:t>
      </w:r>
      <w:r>
        <w:rPr>
          <w:sz w:val="28"/>
        </w:rPr>
        <w:t xml:space="preserve">.  As Judge Moloto pointed out in his TC dissent, no previous ICTY case involved allegations </w:t>
      </w:r>
      <w:r w:rsidR="00524E3D">
        <w:rPr>
          <w:sz w:val="28"/>
        </w:rPr>
        <w:t>of</w:t>
      </w:r>
      <w:r>
        <w:rPr>
          <w:sz w:val="28"/>
        </w:rPr>
        <w:t xml:space="preserve"> a high-ranking military comm</w:t>
      </w:r>
      <w:r w:rsidR="00524E3D">
        <w:rPr>
          <w:sz w:val="28"/>
        </w:rPr>
        <w:t>ander aid</w:t>
      </w:r>
      <w:r w:rsidR="0028352F">
        <w:rPr>
          <w:sz w:val="28"/>
        </w:rPr>
        <w:t>ing and abetti</w:t>
      </w:r>
      <w:r w:rsidR="00524E3D">
        <w:rPr>
          <w:sz w:val="28"/>
        </w:rPr>
        <w:t>ng</w:t>
      </w:r>
      <w:r>
        <w:rPr>
          <w:sz w:val="28"/>
        </w:rPr>
        <w:t xml:space="preserve"> the crimes of another state’s army.</w:t>
      </w:r>
    </w:p>
    <w:p w14:paraId="2F3E2832" w14:textId="77777777" w:rsidR="006B4E0B" w:rsidRDefault="006B4E0B" w:rsidP="00C05BEF">
      <w:pPr>
        <w:rPr>
          <w:sz w:val="28"/>
        </w:rPr>
      </w:pPr>
    </w:p>
    <w:p w14:paraId="7039161F" w14:textId="4100053D" w:rsidR="00803867" w:rsidRDefault="00782656" w:rsidP="00C05BEF">
      <w:pPr>
        <w:rPr>
          <w:sz w:val="28"/>
        </w:rPr>
      </w:pPr>
      <w:r>
        <w:rPr>
          <w:sz w:val="28"/>
        </w:rPr>
        <w:t xml:space="preserve">That is a critical </w:t>
      </w:r>
      <w:r w:rsidR="006A1A2A">
        <w:rPr>
          <w:sz w:val="28"/>
        </w:rPr>
        <w:t>aspect of the case – because it explains why</w:t>
      </w:r>
      <w:r w:rsidR="00803867">
        <w:rPr>
          <w:sz w:val="28"/>
        </w:rPr>
        <w:t xml:space="preserve"> critics are wrong to assume that the SDR emerged out of nowhere </w:t>
      </w:r>
      <w:r w:rsidR="00213AD5">
        <w:rPr>
          <w:sz w:val="28"/>
        </w:rPr>
        <w:t xml:space="preserve">in </w:t>
      </w:r>
      <w:r w:rsidR="00213AD5" w:rsidRPr="00213AD5">
        <w:rPr>
          <w:i/>
          <w:sz w:val="28"/>
        </w:rPr>
        <w:t>Perisic</w:t>
      </w:r>
      <w:r w:rsidR="00CC2906">
        <w:rPr>
          <w:sz w:val="28"/>
        </w:rPr>
        <w:t xml:space="preserve">. </w:t>
      </w:r>
      <w:r w:rsidR="00803867">
        <w:rPr>
          <w:sz w:val="28"/>
        </w:rPr>
        <w:t xml:space="preserve">As the majority emphasized, specific direction </w:t>
      </w:r>
      <w:r w:rsidR="00213AD5">
        <w:rPr>
          <w:sz w:val="28"/>
        </w:rPr>
        <w:t>had</w:t>
      </w:r>
      <w:r w:rsidR="00803867">
        <w:rPr>
          <w:sz w:val="28"/>
        </w:rPr>
        <w:t xml:space="preserve"> always</w:t>
      </w:r>
      <w:r w:rsidR="00DA672F">
        <w:rPr>
          <w:sz w:val="28"/>
        </w:rPr>
        <w:t xml:space="preserve"> been</w:t>
      </w:r>
      <w:r w:rsidR="00803867">
        <w:rPr>
          <w:sz w:val="28"/>
        </w:rPr>
        <w:t xml:space="preserve"> implicit in the </w:t>
      </w:r>
      <w:r w:rsidR="00524E3D" w:rsidRPr="00524E3D">
        <w:rPr>
          <w:i/>
          <w:sz w:val="28"/>
        </w:rPr>
        <w:t>actus reus</w:t>
      </w:r>
      <w:r w:rsidR="00803867">
        <w:rPr>
          <w:sz w:val="28"/>
        </w:rPr>
        <w:t xml:space="preserve"> of aiding and abetting. Previous cases had simply involved the kind of geographically and temporally proximate assistance that made </w:t>
      </w:r>
      <w:r w:rsidR="00803867" w:rsidRPr="00213AD5">
        <w:rPr>
          <w:sz w:val="28"/>
          <w:u w:val="single"/>
        </w:rPr>
        <w:t>explicit</w:t>
      </w:r>
      <w:r w:rsidR="00803867">
        <w:rPr>
          <w:sz w:val="28"/>
        </w:rPr>
        <w:t xml:space="preserve"> </w:t>
      </w:r>
      <w:r w:rsidR="00A16901">
        <w:rPr>
          <w:sz w:val="28"/>
        </w:rPr>
        <w:t>proof</w:t>
      </w:r>
      <w:r w:rsidR="00803867">
        <w:rPr>
          <w:sz w:val="28"/>
        </w:rPr>
        <w:t xml:space="preserve"> of specific direction unnecessary.</w:t>
      </w:r>
    </w:p>
    <w:p w14:paraId="3B70B10C" w14:textId="7C351408" w:rsidR="00E8263D" w:rsidRDefault="00E8263D" w:rsidP="00C05BEF">
      <w:pPr>
        <w:rPr>
          <w:sz w:val="28"/>
        </w:rPr>
      </w:pPr>
      <w:r>
        <w:rPr>
          <w:sz w:val="28"/>
        </w:rPr>
        <w:t xml:space="preserve">Now </w:t>
      </w:r>
      <w:r w:rsidR="00614D34">
        <w:rPr>
          <w:sz w:val="28"/>
        </w:rPr>
        <w:t xml:space="preserve">let’s turn to the </w:t>
      </w:r>
      <w:r w:rsidR="00DA672F">
        <w:rPr>
          <w:sz w:val="28"/>
        </w:rPr>
        <w:t>argument</w:t>
      </w:r>
      <w:r w:rsidR="00213AD5">
        <w:rPr>
          <w:sz w:val="28"/>
        </w:rPr>
        <w:t xml:space="preserve"> for the SDR</w:t>
      </w:r>
      <w:r w:rsidR="00614D34">
        <w:rPr>
          <w:sz w:val="28"/>
        </w:rPr>
        <w:t xml:space="preserve">. </w:t>
      </w:r>
      <w:r w:rsidR="00524D24">
        <w:rPr>
          <w:sz w:val="28"/>
        </w:rPr>
        <w:t>It</w:t>
      </w:r>
      <w:r>
        <w:rPr>
          <w:sz w:val="28"/>
        </w:rPr>
        <w:t xml:space="preserve"> </w:t>
      </w:r>
      <w:r w:rsidR="00524E3D">
        <w:rPr>
          <w:sz w:val="28"/>
        </w:rPr>
        <w:t>begins</w:t>
      </w:r>
      <w:r>
        <w:rPr>
          <w:sz w:val="28"/>
        </w:rPr>
        <w:t xml:space="preserve"> by acknowledging the central normative assumption of the </w:t>
      </w:r>
      <w:r w:rsidR="00213AD5">
        <w:rPr>
          <w:sz w:val="28"/>
        </w:rPr>
        <w:t>requirement</w:t>
      </w:r>
      <w:r>
        <w:rPr>
          <w:sz w:val="28"/>
        </w:rPr>
        <w:t xml:space="preserve">: namely, that it should not be </w:t>
      </w:r>
      <w:r w:rsidRPr="00E8263D">
        <w:rPr>
          <w:i/>
          <w:sz w:val="28"/>
        </w:rPr>
        <w:t>per se</w:t>
      </w:r>
      <w:r>
        <w:rPr>
          <w:sz w:val="28"/>
        </w:rPr>
        <w:t xml:space="preserve"> illegal </w:t>
      </w:r>
      <w:r w:rsidR="00614D34">
        <w:rPr>
          <w:sz w:val="28"/>
        </w:rPr>
        <w:t xml:space="preserve">for an individual </w:t>
      </w:r>
      <w:r>
        <w:rPr>
          <w:sz w:val="28"/>
        </w:rPr>
        <w:t xml:space="preserve">to provide </w:t>
      </w:r>
      <w:r w:rsidR="00DA672F">
        <w:rPr>
          <w:sz w:val="28"/>
        </w:rPr>
        <w:t xml:space="preserve">neutral </w:t>
      </w:r>
      <w:r>
        <w:rPr>
          <w:sz w:val="28"/>
        </w:rPr>
        <w:t xml:space="preserve">assistance to an organization involved in both unlawful and unlawful activities simply because </w:t>
      </w:r>
      <w:r w:rsidR="00614D34">
        <w:rPr>
          <w:sz w:val="28"/>
        </w:rPr>
        <w:t>he</w:t>
      </w:r>
      <w:r>
        <w:rPr>
          <w:sz w:val="28"/>
        </w:rPr>
        <w:t xml:space="preserve"> </w:t>
      </w:r>
      <w:r w:rsidR="00614D34">
        <w:rPr>
          <w:sz w:val="28"/>
        </w:rPr>
        <w:t>is aware of the organization’s</w:t>
      </w:r>
      <w:r>
        <w:rPr>
          <w:sz w:val="28"/>
        </w:rPr>
        <w:t xml:space="preserve"> unlawful activities. </w:t>
      </w:r>
    </w:p>
    <w:p w14:paraId="1F16A601" w14:textId="77777777" w:rsidR="00614D34" w:rsidRDefault="00614D34" w:rsidP="00C05BEF">
      <w:pPr>
        <w:rPr>
          <w:sz w:val="28"/>
        </w:rPr>
      </w:pPr>
    </w:p>
    <w:p w14:paraId="7592CC2B" w14:textId="5B65B6FF" w:rsidR="00614D34" w:rsidRDefault="00614D34" w:rsidP="00614D34">
      <w:pPr>
        <w:rPr>
          <w:sz w:val="28"/>
        </w:rPr>
      </w:pPr>
      <w:r w:rsidRPr="00614D34">
        <w:rPr>
          <w:sz w:val="28"/>
        </w:rPr>
        <w:t xml:space="preserve">As we will see, that is precisely the effect of rejecting the SDR. </w:t>
      </w:r>
      <w:r w:rsidR="00182C49">
        <w:rPr>
          <w:sz w:val="28"/>
        </w:rPr>
        <w:t>Assume, for sake of argument, a genuinely well-intentioned military commander – one who</w:t>
      </w:r>
      <w:r w:rsidR="00CA50D5">
        <w:rPr>
          <w:sz w:val="28"/>
        </w:rPr>
        <w:t xml:space="preserve"> takes IHL seriously and</w:t>
      </w:r>
      <w:r w:rsidR="00213AD5">
        <w:rPr>
          <w:sz w:val="28"/>
        </w:rPr>
        <w:t xml:space="preserve"> who</w:t>
      </w:r>
      <w:r w:rsidR="00182C49">
        <w:rPr>
          <w:sz w:val="28"/>
        </w:rPr>
        <w:t xml:space="preserve"> has no desire</w:t>
      </w:r>
      <w:r w:rsidR="00CA50D5">
        <w:rPr>
          <w:sz w:val="28"/>
        </w:rPr>
        <w:t xml:space="preserve"> </w:t>
      </w:r>
      <w:r w:rsidR="00182C49">
        <w:rPr>
          <w:sz w:val="28"/>
        </w:rPr>
        <w:t>to assist in the com</w:t>
      </w:r>
      <w:r w:rsidR="00CA50D5">
        <w:rPr>
          <w:sz w:val="28"/>
        </w:rPr>
        <w:t xml:space="preserve">mission of international crimes. </w:t>
      </w:r>
      <w:r w:rsidRPr="00614D34">
        <w:rPr>
          <w:sz w:val="28"/>
        </w:rPr>
        <w:t xml:space="preserve">Without the SDR, as long as </w:t>
      </w:r>
      <w:r w:rsidR="00D221BE">
        <w:rPr>
          <w:sz w:val="28"/>
        </w:rPr>
        <w:t>our responsible</w:t>
      </w:r>
      <w:r w:rsidR="00CA50D5">
        <w:rPr>
          <w:sz w:val="28"/>
        </w:rPr>
        <w:t xml:space="preserve"> commander </w:t>
      </w:r>
      <w:r w:rsidRPr="00614D34">
        <w:rPr>
          <w:sz w:val="28"/>
        </w:rPr>
        <w:t>is aware that</w:t>
      </w:r>
      <w:r w:rsidR="00D221BE">
        <w:rPr>
          <w:sz w:val="28"/>
        </w:rPr>
        <w:t xml:space="preserve"> he is providing assistance to an</w:t>
      </w:r>
      <w:r w:rsidR="00CA50D5">
        <w:rPr>
          <w:sz w:val="28"/>
        </w:rPr>
        <w:t xml:space="preserve"> </w:t>
      </w:r>
      <w:r w:rsidRPr="00614D34">
        <w:rPr>
          <w:sz w:val="28"/>
        </w:rPr>
        <w:t>organization</w:t>
      </w:r>
      <w:r w:rsidR="00CA50D5">
        <w:rPr>
          <w:sz w:val="28"/>
        </w:rPr>
        <w:t xml:space="preserve"> </w:t>
      </w:r>
      <w:r w:rsidRPr="00614D34">
        <w:rPr>
          <w:sz w:val="28"/>
        </w:rPr>
        <w:t xml:space="preserve">involved in both lawful and unlawful activities, </w:t>
      </w:r>
      <w:r w:rsidR="00D221BE">
        <w:rPr>
          <w:sz w:val="28"/>
        </w:rPr>
        <w:t>his criminal responsibility</w:t>
      </w:r>
      <w:r w:rsidRPr="00614D34">
        <w:rPr>
          <w:sz w:val="28"/>
        </w:rPr>
        <w:t xml:space="preserve"> will depend on </w:t>
      </w:r>
      <w:r w:rsidR="00D221BE">
        <w:rPr>
          <w:sz w:val="28"/>
        </w:rPr>
        <w:t>a factor</w:t>
      </w:r>
      <w:r w:rsidRPr="00614D34">
        <w:rPr>
          <w:sz w:val="28"/>
        </w:rPr>
        <w:t xml:space="preserve"> </w:t>
      </w:r>
      <w:r w:rsidR="00CA50D5">
        <w:rPr>
          <w:sz w:val="28"/>
        </w:rPr>
        <w:t>largely, if not completely, beyond his</w:t>
      </w:r>
      <w:r w:rsidRPr="00614D34">
        <w:rPr>
          <w:sz w:val="28"/>
        </w:rPr>
        <w:t xml:space="preserve"> control – namely, whether his assistance does, in fact, end up substantially contributing to unlawful </w:t>
      </w:r>
      <w:r w:rsidR="00D221BE">
        <w:rPr>
          <w:sz w:val="28"/>
        </w:rPr>
        <w:t>activities</w:t>
      </w:r>
      <w:r w:rsidRPr="00614D34">
        <w:rPr>
          <w:sz w:val="28"/>
        </w:rPr>
        <w:t>.</w:t>
      </w:r>
      <w:r w:rsidR="00D221BE">
        <w:rPr>
          <w:sz w:val="28"/>
        </w:rPr>
        <w:t xml:space="preserve"> If it does, he is guilty:</w:t>
      </w:r>
    </w:p>
    <w:p w14:paraId="43332BB5" w14:textId="77777777" w:rsidR="00614D34" w:rsidRDefault="00614D34" w:rsidP="00614D34">
      <w:pPr>
        <w:rPr>
          <w:sz w:val="28"/>
        </w:rPr>
      </w:pPr>
    </w:p>
    <w:p w14:paraId="1D209BAB" w14:textId="3D84DA30" w:rsidR="00614D34" w:rsidRPr="00182C49" w:rsidRDefault="00D221BE" w:rsidP="00182C49">
      <w:pPr>
        <w:pStyle w:val="ListParagraph"/>
        <w:numPr>
          <w:ilvl w:val="0"/>
          <w:numId w:val="8"/>
        </w:numPr>
        <w:rPr>
          <w:sz w:val="28"/>
        </w:rPr>
      </w:pPr>
      <w:r>
        <w:rPr>
          <w:sz w:val="28"/>
        </w:rPr>
        <w:t>Regardless of</w:t>
      </w:r>
      <w:r w:rsidR="00614D34" w:rsidRPr="00182C49">
        <w:rPr>
          <w:sz w:val="28"/>
        </w:rPr>
        <w:t xml:space="preserve"> </w:t>
      </w:r>
      <w:r w:rsidR="00182C49" w:rsidRPr="00182C49">
        <w:rPr>
          <w:sz w:val="28"/>
        </w:rPr>
        <w:t>whether the organization was predominantly engaged in lawful activities.</w:t>
      </w:r>
    </w:p>
    <w:p w14:paraId="3BEDA89A" w14:textId="77777777" w:rsidR="00182C49" w:rsidRDefault="00182C49" w:rsidP="00614D34">
      <w:pPr>
        <w:rPr>
          <w:sz w:val="28"/>
        </w:rPr>
      </w:pPr>
    </w:p>
    <w:p w14:paraId="27742CC7" w14:textId="682A43C1" w:rsidR="00182C49" w:rsidRPr="00182C49" w:rsidRDefault="00D221BE" w:rsidP="00182C49">
      <w:pPr>
        <w:pStyle w:val="ListParagraph"/>
        <w:numPr>
          <w:ilvl w:val="0"/>
          <w:numId w:val="8"/>
        </w:numPr>
        <w:rPr>
          <w:sz w:val="28"/>
        </w:rPr>
      </w:pPr>
      <w:r>
        <w:rPr>
          <w:sz w:val="28"/>
        </w:rPr>
        <w:t xml:space="preserve">Regardless </w:t>
      </w:r>
      <w:r w:rsidR="00213AD5">
        <w:rPr>
          <w:sz w:val="28"/>
        </w:rPr>
        <w:t xml:space="preserve">of </w:t>
      </w:r>
      <w:r>
        <w:rPr>
          <w:sz w:val="28"/>
        </w:rPr>
        <w:t xml:space="preserve">whether he </w:t>
      </w:r>
      <w:r w:rsidR="00182C49" w:rsidRPr="00182C49">
        <w:rPr>
          <w:sz w:val="28"/>
        </w:rPr>
        <w:t>intended to assist only the organization’s lawful activities.</w:t>
      </w:r>
    </w:p>
    <w:p w14:paraId="01C00A89" w14:textId="77777777" w:rsidR="00182C49" w:rsidRDefault="00182C49" w:rsidP="00614D34">
      <w:pPr>
        <w:rPr>
          <w:sz w:val="28"/>
        </w:rPr>
      </w:pPr>
    </w:p>
    <w:p w14:paraId="024E08FA" w14:textId="2ECC2339" w:rsidR="00182C49" w:rsidRPr="00182C49" w:rsidRDefault="00D221BE" w:rsidP="00182C49">
      <w:pPr>
        <w:pStyle w:val="ListParagraph"/>
        <w:numPr>
          <w:ilvl w:val="0"/>
          <w:numId w:val="8"/>
        </w:numPr>
        <w:rPr>
          <w:sz w:val="28"/>
        </w:rPr>
      </w:pPr>
      <w:r>
        <w:rPr>
          <w:sz w:val="28"/>
        </w:rPr>
        <w:t>Regardless of whether he</w:t>
      </w:r>
      <w:r w:rsidR="00182C49">
        <w:rPr>
          <w:sz w:val="28"/>
        </w:rPr>
        <w:t xml:space="preserve"> did everything in his power </w:t>
      </w:r>
      <w:r w:rsidR="00182C49" w:rsidRPr="00182C49">
        <w:rPr>
          <w:sz w:val="28"/>
        </w:rPr>
        <w:t xml:space="preserve">to </w:t>
      </w:r>
      <w:r w:rsidR="00182C49" w:rsidRPr="00182C49">
        <w:rPr>
          <w:sz w:val="28"/>
          <w:u w:val="single"/>
        </w:rPr>
        <w:t>prevent</w:t>
      </w:r>
      <w:r w:rsidR="00182C49" w:rsidRPr="00182C49">
        <w:rPr>
          <w:sz w:val="28"/>
        </w:rPr>
        <w:t xml:space="preserve"> his assistance from being used for unlawful activities.</w:t>
      </w:r>
    </w:p>
    <w:p w14:paraId="328001DB" w14:textId="77777777" w:rsidR="00182C49" w:rsidRDefault="00182C49" w:rsidP="00614D34">
      <w:pPr>
        <w:rPr>
          <w:sz w:val="28"/>
        </w:rPr>
      </w:pPr>
    </w:p>
    <w:p w14:paraId="2719B0D3" w14:textId="1C43D13E" w:rsidR="00182C49" w:rsidRDefault="00182C49" w:rsidP="00614D34">
      <w:pPr>
        <w:rPr>
          <w:sz w:val="28"/>
        </w:rPr>
      </w:pPr>
      <w:r>
        <w:rPr>
          <w:sz w:val="28"/>
        </w:rPr>
        <w:t>The mere fact of</w:t>
      </w:r>
      <w:r w:rsidR="00CA50D5">
        <w:rPr>
          <w:sz w:val="28"/>
        </w:rPr>
        <w:t xml:space="preserve"> his</w:t>
      </w:r>
      <w:r>
        <w:rPr>
          <w:sz w:val="28"/>
        </w:rPr>
        <w:t xml:space="preserve"> knowing assistance, combined with the bad luck</w:t>
      </w:r>
      <w:r w:rsidR="00CA50D5">
        <w:rPr>
          <w:sz w:val="28"/>
        </w:rPr>
        <w:t xml:space="preserve"> </w:t>
      </w:r>
      <w:r w:rsidR="00D221BE">
        <w:rPr>
          <w:sz w:val="28"/>
        </w:rPr>
        <w:t>that</w:t>
      </w:r>
      <w:r w:rsidR="00CA50D5">
        <w:rPr>
          <w:sz w:val="28"/>
        </w:rPr>
        <w:t xml:space="preserve"> his assistance</w:t>
      </w:r>
      <w:r w:rsidR="00D221BE">
        <w:rPr>
          <w:sz w:val="28"/>
        </w:rPr>
        <w:t xml:space="preserve"> was</w:t>
      </w:r>
      <w:r w:rsidR="00CA50D5">
        <w:rPr>
          <w:sz w:val="28"/>
        </w:rPr>
        <w:t xml:space="preserve"> misused, will make him a war criminal – </w:t>
      </w:r>
      <w:r w:rsidR="00D221BE">
        <w:rPr>
          <w:sz w:val="28"/>
        </w:rPr>
        <w:t>maybe</w:t>
      </w:r>
      <w:r w:rsidR="00CA50D5">
        <w:rPr>
          <w:sz w:val="28"/>
        </w:rPr>
        <w:t xml:space="preserve"> even a </w:t>
      </w:r>
      <w:r w:rsidR="00CA50D5" w:rsidRPr="00165730">
        <w:rPr>
          <w:i/>
          <w:sz w:val="28"/>
        </w:rPr>
        <w:t>genocidaire</w:t>
      </w:r>
      <w:r w:rsidR="00CA50D5">
        <w:rPr>
          <w:sz w:val="28"/>
        </w:rPr>
        <w:t>.</w:t>
      </w:r>
      <w:r>
        <w:rPr>
          <w:sz w:val="28"/>
        </w:rPr>
        <w:t xml:space="preserve"> </w:t>
      </w:r>
    </w:p>
    <w:p w14:paraId="592FD1CF" w14:textId="77777777" w:rsidR="00CA50D5" w:rsidRDefault="00CA50D5" w:rsidP="00CA50D5">
      <w:pPr>
        <w:rPr>
          <w:sz w:val="28"/>
        </w:rPr>
      </w:pPr>
    </w:p>
    <w:p w14:paraId="79A95337" w14:textId="50B71D3D" w:rsidR="00A16901" w:rsidRDefault="00524D24" w:rsidP="00A16901">
      <w:pPr>
        <w:rPr>
          <w:sz w:val="28"/>
        </w:rPr>
      </w:pPr>
      <w:r>
        <w:rPr>
          <w:sz w:val="28"/>
        </w:rPr>
        <w:t>Now,</w:t>
      </w:r>
      <w:r w:rsidR="00722425">
        <w:rPr>
          <w:sz w:val="28"/>
        </w:rPr>
        <w:t xml:space="preserve"> p</w:t>
      </w:r>
      <w:r w:rsidR="00CA50D5">
        <w:rPr>
          <w:sz w:val="28"/>
        </w:rPr>
        <w:t xml:space="preserve">erhaps that’s the right </w:t>
      </w:r>
      <w:r w:rsidR="00722425">
        <w:rPr>
          <w:sz w:val="28"/>
        </w:rPr>
        <w:t>outcome</w:t>
      </w:r>
      <w:r w:rsidR="00CA50D5">
        <w:rPr>
          <w:sz w:val="28"/>
        </w:rPr>
        <w:t xml:space="preserve">. Perhaps we want to </w:t>
      </w:r>
      <w:r w:rsidR="00722425">
        <w:rPr>
          <w:sz w:val="28"/>
        </w:rPr>
        <w:t>tell</w:t>
      </w:r>
      <w:r w:rsidR="00CA50D5">
        <w:rPr>
          <w:sz w:val="28"/>
        </w:rPr>
        <w:t xml:space="preserve"> military commanders that they cannot engage in any way with</w:t>
      </w:r>
      <w:r>
        <w:rPr>
          <w:sz w:val="28"/>
        </w:rPr>
        <w:t xml:space="preserve"> any organization</w:t>
      </w:r>
      <w:r w:rsidR="00CA50D5">
        <w:rPr>
          <w:sz w:val="28"/>
        </w:rPr>
        <w:t xml:space="preserve"> they know </w:t>
      </w:r>
      <w:r>
        <w:rPr>
          <w:sz w:val="28"/>
        </w:rPr>
        <w:t>is</w:t>
      </w:r>
      <w:r w:rsidR="00CA50D5">
        <w:rPr>
          <w:sz w:val="28"/>
        </w:rPr>
        <w:t xml:space="preserve"> engaged in </w:t>
      </w:r>
      <w:r w:rsidR="00AB0A2A">
        <w:rPr>
          <w:sz w:val="28"/>
        </w:rPr>
        <w:t xml:space="preserve">any </w:t>
      </w:r>
      <w:r w:rsidR="00722425">
        <w:rPr>
          <w:sz w:val="28"/>
        </w:rPr>
        <w:t xml:space="preserve">kind of </w:t>
      </w:r>
      <w:r w:rsidR="00CA50D5">
        <w:rPr>
          <w:sz w:val="28"/>
        </w:rPr>
        <w:t xml:space="preserve">unlawful activities. </w:t>
      </w:r>
    </w:p>
    <w:p w14:paraId="2910753B" w14:textId="02B2CD16" w:rsidR="00CA50D5" w:rsidRDefault="00722425" w:rsidP="00CA50D5">
      <w:pPr>
        <w:rPr>
          <w:sz w:val="28"/>
        </w:rPr>
      </w:pPr>
      <w:r>
        <w:rPr>
          <w:sz w:val="28"/>
        </w:rPr>
        <w:t xml:space="preserve">But let’s </w:t>
      </w:r>
      <w:r w:rsidR="00AB0A2A">
        <w:rPr>
          <w:sz w:val="28"/>
        </w:rPr>
        <w:t xml:space="preserve">assume </w:t>
      </w:r>
      <w:r w:rsidR="00067CFB">
        <w:rPr>
          <w:sz w:val="28"/>
        </w:rPr>
        <w:t xml:space="preserve">for sake of argument that we don’t </w:t>
      </w:r>
      <w:r w:rsidR="00AB0A2A">
        <w:rPr>
          <w:sz w:val="28"/>
        </w:rPr>
        <w:t xml:space="preserve">want to </w:t>
      </w:r>
      <w:r w:rsidR="00A16901">
        <w:rPr>
          <w:sz w:val="28"/>
        </w:rPr>
        <w:t>categorically</w:t>
      </w:r>
      <w:r w:rsidR="00345B4C">
        <w:rPr>
          <w:sz w:val="28"/>
        </w:rPr>
        <w:t xml:space="preserve"> prohibit </w:t>
      </w:r>
      <w:r w:rsidR="00A16901">
        <w:rPr>
          <w:sz w:val="28"/>
        </w:rPr>
        <w:t>assistance in that context</w:t>
      </w:r>
      <w:r w:rsidR="00345B4C">
        <w:rPr>
          <w:sz w:val="28"/>
        </w:rPr>
        <w:t xml:space="preserve">. The question then becomes: how should the elements of aiding and abetting </w:t>
      </w:r>
      <w:r w:rsidR="00213AD5">
        <w:rPr>
          <w:sz w:val="28"/>
        </w:rPr>
        <w:t xml:space="preserve">be structured </w:t>
      </w:r>
      <w:r w:rsidR="00497AB9">
        <w:rPr>
          <w:sz w:val="28"/>
        </w:rPr>
        <w:t>to fairly and reliably distinguish between permissible and impermissible</w:t>
      </w:r>
      <w:r w:rsidR="009F6C05">
        <w:rPr>
          <w:sz w:val="28"/>
        </w:rPr>
        <w:t xml:space="preserve"> forms of </w:t>
      </w:r>
      <w:r>
        <w:rPr>
          <w:sz w:val="28"/>
        </w:rPr>
        <w:t>neutral</w:t>
      </w:r>
      <w:r w:rsidR="00497AB9">
        <w:rPr>
          <w:sz w:val="28"/>
        </w:rPr>
        <w:t xml:space="preserve"> assistance?</w:t>
      </w:r>
    </w:p>
    <w:p w14:paraId="7947E33C" w14:textId="68B9A7BF" w:rsidR="00E8263D" w:rsidRDefault="00E8263D" w:rsidP="00C05BEF">
      <w:pPr>
        <w:rPr>
          <w:sz w:val="28"/>
        </w:rPr>
      </w:pPr>
    </w:p>
    <w:p w14:paraId="683ECC16" w14:textId="2B114C5F" w:rsidR="00B12579" w:rsidRPr="008065D9" w:rsidRDefault="009F6C05" w:rsidP="008065D9">
      <w:pPr>
        <w:rPr>
          <w:sz w:val="28"/>
        </w:rPr>
      </w:pPr>
      <w:r>
        <w:rPr>
          <w:sz w:val="28"/>
        </w:rPr>
        <w:t>There are, I would suggest, three potential limiting principles</w:t>
      </w:r>
      <w:r w:rsidR="006D33FF">
        <w:rPr>
          <w:sz w:val="28"/>
        </w:rPr>
        <w:t>.</w:t>
      </w:r>
      <w:r w:rsidR="008065D9">
        <w:rPr>
          <w:sz w:val="28"/>
        </w:rPr>
        <w:t xml:space="preserve"> The first would be to r</w:t>
      </w:r>
      <w:r w:rsidRPr="008065D9">
        <w:rPr>
          <w:sz w:val="28"/>
        </w:rPr>
        <w:t xml:space="preserve">equire the prosecution to prove that the D </w:t>
      </w:r>
      <w:r w:rsidRPr="00524D24">
        <w:rPr>
          <w:sz w:val="28"/>
          <w:u w:val="single"/>
        </w:rPr>
        <w:t>intended</w:t>
      </w:r>
      <w:r w:rsidRPr="008065D9">
        <w:rPr>
          <w:sz w:val="28"/>
        </w:rPr>
        <w:t xml:space="preserve"> to assist</w:t>
      </w:r>
      <w:r w:rsidR="00141554" w:rsidRPr="008065D9">
        <w:rPr>
          <w:sz w:val="28"/>
        </w:rPr>
        <w:t xml:space="preserve"> an organization’s unlawful activities.</w:t>
      </w:r>
      <w:r w:rsidR="00524E3D">
        <w:rPr>
          <w:sz w:val="28"/>
        </w:rPr>
        <w:t xml:space="preserve"> The fact that assistance wa</w:t>
      </w:r>
      <w:r w:rsidR="003409F6" w:rsidRPr="008065D9">
        <w:rPr>
          <w:sz w:val="28"/>
        </w:rPr>
        <w:t xml:space="preserve">s neutral on its face is </w:t>
      </w:r>
      <w:r w:rsidR="00524D24">
        <w:rPr>
          <w:sz w:val="28"/>
        </w:rPr>
        <w:t xml:space="preserve">obviously </w:t>
      </w:r>
      <w:r w:rsidR="003409F6" w:rsidRPr="008065D9">
        <w:rPr>
          <w:sz w:val="28"/>
        </w:rPr>
        <w:t>irrelevant if the D subjectively desired to facilitate the commission of international crimes.</w:t>
      </w:r>
    </w:p>
    <w:p w14:paraId="1FA2387F" w14:textId="77777777" w:rsidR="008065D9" w:rsidRDefault="008065D9" w:rsidP="008065D9">
      <w:pPr>
        <w:rPr>
          <w:sz w:val="28"/>
        </w:rPr>
      </w:pPr>
    </w:p>
    <w:p w14:paraId="73739A3C" w14:textId="7996D1BD" w:rsidR="008065D9" w:rsidRPr="005E51AE" w:rsidRDefault="00524D24" w:rsidP="005E51AE">
      <w:pPr>
        <w:pStyle w:val="ListParagraph"/>
        <w:numPr>
          <w:ilvl w:val="0"/>
          <w:numId w:val="12"/>
        </w:numPr>
        <w:rPr>
          <w:sz w:val="28"/>
        </w:rPr>
      </w:pPr>
      <w:r w:rsidRPr="005E51AE">
        <w:rPr>
          <w:sz w:val="28"/>
        </w:rPr>
        <w:t>That is the approach to aiding and abetting adopted by the Rome Statute in</w:t>
      </w:r>
      <w:r w:rsidR="008065D9" w:rsidRPr="005E51AE">
        <w:rPr>
          <w:sz w:val="28"/>
        </w:rPr>
        <w:t xml:space="preserve"> Art. 25(3)(c) </w:t>
      </w:r>
      <w:r w:rsidRPr="005E51AE">
        <w:rPr>
          <w:sz w:val="28"/>
        </w:rPr>
        <w:t>and by</w:t>
      </w:r>
      <w:r w:rsidR="005E51AE" w:rsidRPr="005E51AE">
        <w:rPr>
          <w:sz w:val="28"/>
        </w:rPr>
        <w:t xml:space="preserve"> many national systems – including </w:t>
      </w:r>
      <w:r w:rsidR="00213AD5">
        <w:rPr>
          <w:sz w:val="28"/>
        </w:rPr>
        <w:t xml:space="preserve">Australia and </w:t>
      </w:r>
      <w:r w:rsidR="005E51AE" w:rsidRPr="005E51AE">
        <w:rPr>
          <w:sz w:val="28"/>
        </w:rPr>
        <w:t>the UK.</w:t>
      </w:r>
    </w:p>
    <w:p w14:paraId="207270FA" w14:textId="77777777" w:rsidR="00067CFB" w:rsidRDefault="00067CFB" w:rsidP="008065D9">
      <w:pPr>
        <w:rPr>
          <w:sz w:val="28"/>
        </w:rPr>
      </w:pPr>
    </w:p>
    <w:p w14:paraId="47C7580A" w14:textId="571DF939" w:rsidR="005E51AE" w:rsidRPr="008065D9" w:rsidRDefault="005E51AE" w:rsidP="008065D9">
      <w:pPr>
        <w:rPr>
          <w:sz w:val="28"/>
        </w:rPr>
      </w:pPr>
      <w:r>
        <w:rPr>
          <w:sz w:val="28"/>
        </w:rPr>
        <w:t>In</w:t>
      </w:r>
      <w:r w:rsidR="00A16901">
        <w:rPr>
          <w:sz w:val="28"/>
        </w:rPr>
        <w:t>terestingly, in</w:t>
      </w:r>
      <w:r>
        <w:rPr>
          <w:sz w:val="28"/>
        </w:rPr>
        <w:t xml:space="preserve"> their Joint Separate Opinion in </w:t>
      </w:r>
      <w:r w:rsidRPr="005E51AE">
        <w:rPr>
          <w:i/>
          <w:sz w:val="28"/>
        </w:rPr>
        <w:t>Perisic</w:t>
      </w:r>
      <w:r>
        <w:rPr>
          <w:sz w:val="28"/>
        </w:rPr>
        <w:t>, Judges Meron and Agius emphasized that they would have preferred this limiting principle to the SDR. But they rig</w:t>
      </w:r>
      <w:r w:rsidR="00C366C6">
        <w:rPr>
          <w:sz w:val="28"/>
        </w:rPr>
        <w:t xml:space="preserve">htly pointed out that the </w:t>
      </w:r>
      <w:r w:rsidR="0041250F">
        <w:rPr>
          <w:sz w:val="28"/>
        </w:rPr>
        <w:t>Appeals Chamber</w:t>
      </w:r>
      <w:r w:rsidR="00C366C6">
        <w:rPr>
          <w:sz w:val="28"/>
        </w:rPr>
        <w:t xml:space="preserve"> has</w:t>
      </w:r>
      <w:r>
        <w:rPr>
          <w:sz w:val="28"/>
        </w:rPr>
        <w:t xml:space="preserve"> always held that the </w:t>
      </w:r>
      <w:r w:rsidR="00524E3D" w:rsidRPr="00524E3D">
        <w:rPr>
          <w:i/>
          <w:sz w:val="28"/>
        </w:rPr>
        <w:t>mens rea</w:t>
      </w:r>
      <w:r>
        <w:rPr>
          <w:sz w:val="28"/>
        </w:rPr>
        <w:t xml:space="preserve"> of aiding and abetting </w:t>
      </w:r>
      <w:r w:rsidR="00C366C6">
        <w:rPr>
          <w:sz w:val="28"/>
        </w:rPr>
        <w:t>is</w:t>
      </w:r>
      <w:r>
        <w:rPr>
          <w:sz w:val="28"/>
        </w:rPr>
        <w:t xml:space="preserve"> knowledge, not intent.  So they concluded that affirming the SDR, which had been a part of aiding and abetting since </w:t>
      </w:r>
      <w:r w:rsidRPr="00C366C6">
        <w:rPr>
          <w:i/>
          <w:sz w:val="28"/>
        </w:rPr>
        <w:t>Tadic</w:t>
      </w:r>
      <w:r>
        <w:rPr>
          <w:sz w:val="28"/>
        </w:rPr>
        <w:t>, was more consistent with the ICTY’s jurisprudence.</w:t>
      </w:r>
    </w:p>
    <w:p w14:paraId="1F378704" w14:textId="77777777" w:rsidR="008065D9" w:rsidRDefault="008065D9" w:rsidP="008065D9">
      <w:pPr>
        <w:rPr>
          <w:sz w:val="28"/>
        </w:rPr>
      </w:pPr>
    </w:p>
    <w:p w14:paraId="17ED80B4" w14:textId="70A0590D" w:rsidR="003409F6" w:rsidRPr="008065D9" w:rsidRDefault="008065D9" w:rsidP="008065D9">
      <w:pPr>
        <w:rPr>
          <w:sz w:val="28"/>
        </w:rPr>
      </w:pPr>
      <w:r>
        <w:rPr>
          <w:sz w:val="28"/>
        </w:rPr>
        <w:t xml:space="preserve">The second </w:t>
      </w:r>
      <w:r w:rsidR="00C366C6">
        <w:rPr>
          <w:sz w:val="28"/>
        </w:rPr>
        <w:t>potential</w:t>
      </w:r>
      <w:r>
        <w:rPr>
          <w:sz w:val="28"/>
        </w:rPr>
        <w:t xml:space="preserve"> limiting principle, </w:t>
      </w:r>
      <w:r w:rsidR="0015228F">
        <w:rPr>
          <w:sz w:val="28"/>
        </w:rPr>
        <w:t>which also operates</w:t>
      </w:r>
      <w:r>
        <w:rPr>
          <w:sz w:val="28"/>
        </w:rPr>
        <w:t xml:space="preserve"> at the level of </w:t>
      </w:r>
      <w:r w:rsidR="00524E3D" w:rsidRPr="00524E3D">
        <w:rPr>
          <w:i/>
          <w:sz w:val="28"/>
        </w:rPr>
        <w:t>mens rea</w:t>
      </w:r>
      <w:r>
        <w:rPr>
          <w:sz w:val="28"/>
        </w:rPr>
        <w:t>, would be to r</w:t>
      </w:r>
      <w:r w:rsidR="00863457" w:rsidRPr="008065D9">
        <w:rPr>
          <w:sz w:val="28"/>
        </w:rPr>
        <w:t xml:space="preserve">equire </w:t>
      </w:r>
      <w:r w:rsidR="006D33FF" w:rsidRPr="008065D9">
        <w:rPr>
          <w:sz w:val="28"/>
        </w:rPr>
        <w:t xml:space="preserve">the defendant to know that his </w:t>
      </w:r>
      <w:r w:rsidR="003409F6" w:rsidRPr="008065D9">
        <w:rPr>
          <w:sz w:val="28"/>
        </w:rPr>
        <w:t xml:space="preserve">assistance will be used to commit a </w:t>
      </w:r>
      <w:r w:rsidR="003409F6" w:rsidRPr="00213AD5">
        <w:rPr>
          <w:sz w:val="28"/>
          <w:u w:val="single"/>
        </w:rPr>
        <w:t>specific</w:t>
      </w:r>
      <w:r w:rsidR="003409F6" w:rsidRPr="008065D9">
        <w:rPr>
          <w:sz w:val="28"/>
        </w:rPr>
        <w:t xml:space="preserve"> crime – not just be aware that it might be used for criminal activity </w:t>
      </w:r>
      <w:r w:rsidR="003409F6" w:rsidRPr="00213AD5">
        <w:rPr>
          <w:sz w:val="28"/>
          <w:u w:val="single"/>
        </w:rPr>
        <w:t>in general</w:t>
      </w:r>
      <w:r w:rsidR="003409F6" w:rsidRPr="008065D9">
        <w:rPr>
          <w:sz w:val="28"/>
        </w:rPr>
        <w:t>.  Even if a D does not intend to facilitate unlawful activity, there is no justification for</w:t>
      </w:r>
      <w:r w:rsidR="00DF128B" w:rsidRPr="008065D9">
        <w:rPr>
          <w:sz w:val="28"/>
        </w:rPr>
        <w:t xml:space="preserve"> </w:t>
      </w:r>
      <w:r w:rsidR="00067CFB">
        <w:rPr>
          <w:sz w:val="28"/>
        </w:rPr>
        <w:t>him providing</w:t>
      </w:r>
      <w:r w:rsidR="003409F6" w:rsidRPr="008065D9">
        <w:rPr>
          <w:sz w:val="28"/>
        </w:rPr>
        <w:t xml:space="preserve"> neutral assistance to an organization that </w:t>
      </w:r>
      <w:r>
        <w:rPr>
          <w:sz w:val="28"/>
        </w:rPr>
        <w:t xml:space="preserve">he </w:t>
      </w:r>
      <w:r w:rsidR="00213AD5">
        <w:rPr>
          <w:sz w:val="28"/>
        </w:rPr>
        <w:t>knows</w:t>
      </w:r>
      <w:r>
        <w:rPr>
          <w:sz w:val="28"/>
        </w:rPr>
        <w:t xml:space="preserve"> </w:t>
      </w:r>
      <w:r w:rsidR="003409F6" w:rsidRPr="008065D9">
        <w:rPr>
          <w:sz w:val="28"/>
        </w:rPr>
        <w:t xml:space="preserve">will </w:t>
      </w:r>
      <w:r w:rsidR="00C366C6">
        <w:rPr>
          <w:sz w:val="28"/>
        </w:rPr>
        <w:t>use it</w:t>
      </w:r>
      <w:r w:rsidR="003409F6" w:rsidRPr="008065D9">
        <w:rPr>
          <w:sz w:val="28"/>
        </w:rPr>
        <w:t xml:space="preserve"> </w:t>
      </w:r>
      <w:r w:rsidR="00524E3D">
        <w:rPr>
          <w:sz w:val="28"/>
        </w:rPr>
        <w:t>to commit a specific crime</w:t>
      </w:r>
      <w:r w:rsidR="003409F6" w:rsidRPr="008065D9">
        <w:rPr>
          <w:sz w:val="28"/>
        </w:rPr>
        <w:t>.</w:t>
      </w:r>
    </w:p>
    <w:p w14:paraId="39FB6D27" w14:textId="77777777" w:rsidR="00744BF8" w:rsidRDefault="00744BF8">
      <w:pPr>
        <w:rPr>
          <w:sz w:val="28"/>
        </w:rPr>
      </w:pPr>
    </w:p>
    <w:p w14:paraId="7060CCCA" w14:textId="12508C65" w:rsidR="00E779CE" w:rsidRDefault="00E779CE">
      <w:pPr>
        <w:rPr>
          <w:sz w:val="28"/>
        </w:rPr>
      </w:pPr>
      <w:r>
        <w:rPr>
          <w:sz w:val="28"/>
        </w:rPr>
        <w:t xml:space="preserve">This limiting principle is not inherently inconsistent with ICTY jurisprudence. Indeed, the </w:t>
      </w:r>
      <w:r w:rsidR="0041250F">
        <w:rPr>
          <w:sz w:val="28"/>
        </w:rPr>
        <w:t>Appeals Chamber</w:t>
      </w:r>
      <w:r>
        <w:rPr>
          <w:sz w:val="28"/>
        </w:rPr>
        <w:t xml:space="preserve">’s </w:t>
      </w:r>
      <w:r w:rsidR="00213AD5">
        <w:rPr>
          <w:sz w:val="28"/>
        </w:rPr>
        <w:t>early</w:t>
      </w:r>
      <w:r>
        <w:rPr>
          <w:sz w:val="28"/>
        </w:rPr>
        <w:t xml:space="preserve"> </w:t>
      </w:r>
      <w:r w:rsidR="00524E3D">
        <w:rPr>
          <w:sz w:val="28"/>
        </w:rPr>
        <w:t>cases</w:t>
      </w:r>
      <w:r w:rsidR="00A16901">
        <w:rPr>
          <w:sz w:val="28"/>
        </w:rPr>
        <w:t xml:space="preserve"> explicitly adopted it</w:t>
      </w:r>
      <w:r>
        <w:rPr>
          <w:sz w:val="28"/>
        </w:rPr>
        <w:t xml:space="preserve">. Here is what it said in </w:t>
      </w:r>
      <w:r w:rsidRPr="00E779CE">
        <w:rPr>
          <w:i/>
          <w:sz w:val="28"/>
        </w:rPr>
        <w:t>Tadic</w:t>
      </w:r>
      <w:r>
        <w:rPr>
          <w:sz w:val="28"/>
        </w:rPr>
        <w:t xml:space="preserve">: </w:t>
      </w:r>
    </w:p>
    <w:p w14:paraId="6CA329B3" w14:textId="77777777" w:rsidR="00D46DF7" w:rsidRPr="000F6B2D" w:rsidRDefault="00D46DF7">
      <w:pPr>
        <w:rPr>
          <w:sz w:val="28"/>
        </w:rPr>
      </w:pPr>
    </w:p>
    <w:p w14:paraId="541D7BD9" w14:textId="1005CDD1" w:rsidR="00D46DF7" w:rsidRPr="000F6B2D" w:rsidRDefault="00303547" w:rsidP="00E779CE">
      <w:pPr>
        <w:ind w:left="567" w:right="645"/>
      </w:pPr>
      <w:r w:rsidRPr="000F6B2D">
        <w:t>T</w:t>
      </w:r>
      <w:r w:rsidR="00D46DF7" w:rsidRPr="000F6B2D">
        <w:t xml:space="preserve">he requisite mental element is knowledge that the acts performed by the aider and abettor assist the commission of a </w:t>
      </w:r>
      <w:r w:rsidR="00D46DF7" w:rsidRPr="000723FA">
        <w:rPr>
          <w:b/>
        </w:rPr>
        <w:t>speci</w:t>
      </w:r>
      <w:r w:rsidRPr="000723FA">
        <w:rPr>
          <w:b/>
        </w:rPr>
        <w:t>fic crime</w:t>
      </w:r>
      <w:r w:rsidRPr="000F6B2D">
        <w:t xml:space="preserve"> by the principal</w:t>
      </w:r>
      <w:r w:rsidR="00DF5F14" w:rsidRPr="000F6B2D">
        <w:t>.</w:t>
      </w:r>
    </w:p>
    <w:p w14:paraId="4E83E360" w14:textId="77777777" w:rsidR="00D46DF7" w:rsidRPr="000F6B2D" w:rsidRDefault="00D46DF7" w:rsidP="00D46DF7"/>
    <w:p w14:paraId="62FBA5A7" w14:textId="25219607" w:rsidR="004520CE" w:rsidRPr="000F6B2D" w:rsidRDefault="00213AD5" w:rsidP="00D46DF7">
      <w:pPr>
        <w:rPr>
          <w:sz w:val="28"/>
        </w:rPr>
      </w:pPr>
      <w:r>
        <w:rPr>
          <w:sz w:val="28"/>
        </w:rPr>
        <w:t>That wa</w:t>
      </w:r>
      <w:r w:rsidR="00E779CE">
        <w:rPr>
          <w:sz w:val="28"/>
        </w:rPr>
        <w:t>s a</w:t>
      </w:r>
      <w:r>
        <w:rPr>
          <w:sz w:val="28"/>
        </w:rPr>
        <w:t xml:space="preserve"> very</w:t>
      </w:r>
      <w:r w:rsidR="00E779CE">
        <w:rPr>
          <w:sz w:val="28"/>
        </w:rPr>
        <w:t xml:space="preserve"> h</w:t>
      </w:r>
      <w:r w:rsidR="00AA224D">
        <w:rPr>
          <w:sz w:val="28"/>
        </w:rPr>
        <w:t>igh standard, because</w:t>
      </w:r>
      <w:r w:rsidR="00E7383A">
        <w:rPr>
          <w:sz w:val="28"/>
        </w:rPr>
        <w:t xml:space="preserve"> </w:t>
      </w:r>
      <w:r w:rsidR="00E779CE">
        <w:rPr>
          <w:sz w:val="28"/>
        </w:rPr>
        <w:t xml:space="preserve">the </w:t>
      </w:r>
      <w:r w:rsidR="00E779CE" w:rsidRPr="00E779CE">
        <w:rPr>
          <w:i/>
          <w:sz w:val="28"/>
        </w:rPr>
        <w:t>Oric</w:t>
      </w:r>
      <w:r w:rsidR="00E779CE">
        <w:rPr>
          <w:sz w:val="28"/>
        </w:rPr>
        <w:t xml:space="preserve"> TC</w:t>
      </w:r>
      <w:r w:rsidR="00E7383A">
        <w:rPr>
          <w:sz w:val="28"/>
        </w:rPr>
        <w:t xml:space="preserve"> </w:t>
      </w:r>
      <w:r w:rsidR="00DD56D3">
        <w:rPr>
          <w:sz w:val="28"/>
        </w:rPr>
        <w:t xml:space="preserve">later </w:t>
      </w:r>
      <w:r w:rsidR="00E7383A">
        <w:rPr>
          <w:sz w:val="28"/>
        </w:rPr>
        <w:t>defined</w:t>
      </w:r>
      <w:r w:rsidR="00AA224D">
        <w:rPr>
          <w:sz w:val="28"/>
        </w:rPr>
        <w:t xml:space="preserve"> </w:t>
      </w:r>
      <w:r w:rsidR="004520CE" w:rsidRPr="000F6B2D">
        <w:rPr>
          <w:sz w:val="28"/>
        </w:rPr>
        <w:t>“knowledge”</w:t>
      </w:r>
      <w:r w:rsidR="00AA224D">
        <w:rPr>
          <w:sz w:val="28"/>
        </w:rPr>
        <w:t xml:space="preserve"> </w:t>
      </w:r>
      <w:r w:rsidR="00C366C6">
        <w:rPr>
          <w:sz w:val="28"/>
        </w:rPr>
        <w:t>for purposes of aiding-and-abetting</w:t>
      </w:r>
      <w:r w:rsidR="004520CE" w:rsidRPr="000F6B2D">
        <w:rPr>
          <w:sz w:val="28"/>
        </w:rPr>
        <w:t xml:space="preserve"> in the sense of domestic criminal law – as “virtual certai</w:t>
      </w:r>
      <w:r>
        <w:rPr>
          <w:sz w:val="28"/>
        </w:rPr>
        <w:t>nty” or “practical certainty</w:t>
      </w:r>
      <w:r w:rsidR="00A16901">
        <w:rPr>
          <w:sz w:val="28"/>
        </w:rPr>
        <w:t>.</w:t>
      </w:r>
      <w:r w:rsidR="00AA224D">
        <w:rPr>
          <w:sz w:val="28"/>
        </w:rPr>
        <w:t>”</w:t>
      </w:r>
      <w:r w:rsidR="00524E3D">
        <w:rPr>
          <w:sz w:val="28"/>
        </w:rPr>
        <w:t xml:space="preserve"> </w:t>
      </w:r>
      <w:r w:rsidR="00E779CE">
        <w:rPr>
          <w:sz w:val="28"/>
        </w:rPr>
        <w:t xml:space="preserve">Under the </w:t>
      </w:r>
      <w:r w:rsidR="00E779CE" w:rsidRPr="00E779CE">
        <w:rPr>
          <w:i/>
          <w:sz w:val="28"/>
        </w:rPr>
        <w:t>Tadic</w:t>
      </w:r>
      <w:r w:rsidR="00E779CE">
        <w:rPr>
          <w:sz w:val="28"/>
        </w:rPr>
        <w:t xml:space="preserve"> approach, therefore</w:t>
      </w:r>
      <w:r w:rsidR="00AA224D">
        <w:rPr>
          <w:sz w:val="28"/>
        </w:rPr>
        <w:t xml:space="preserve">, </w:t>
      </w:r>
      <w:r w:rsidR="00E779CE">
        <w:rPr>
          <w:sz w:val="28"/>
        </w:rPr>
        <w:t xml:space="preserve">D </w:t>
      </w:r>
      <w:r w:rsidR="00C366C6">
        <w:rPr>
          <w:sz w:val="28"/>
        </w:rPr>
        <w:t>acted</w:t>
      </w:r>
      <w:r w:rsidR="00F6527D">
        <w:rPr>
          <w:sz w:val="28"/>
        </w:rPr>
        <w:t xml:space="preserve"> with the necessary </w:t>
      </w:r>
      <w:r w:rsidR="00524E3D" w:rsidRPr="00524E3D">
        <w:rPr>
          <w:i/>
          <w:sz w:val="28"/>
        </w:rPr>
        <w:t>mens rea</w:t>
      </w:r>
      <w:r w:rsidR="00E779CE">
        <w:rPr>
          <w:sz w:val="28"/>
        </w:rPr>
        <w:t xml:space="preserve"> only if he was</w:t>
      </w:r>
      <w:r w:rsidR="004520CE" w:rsidRPr="000F6B2D">
        <w:rPr>
          <w:sz w:val="28"/>
        </w:rPr>
        <w:t>:</w:t>
      </w:r>
    </w:p>
    <w:p w14:paraId="34C1604B" w14:textId="77777777" w:rsidR="004520CE" w:rsidRPr="000F6B2D" w:rsidRDefault="004520CE" w:rsidP="00D46DF7">
      <w:pPr>
        <w:rPr>
          <w:sz w:val="28"/>
        </w:rPr>
      </w:pPr>
    </w:p>
    <w:p w14:paraId="29A2904E" w14:textId="49F782BC" w:rsidR="004520CE" w:rsidRPr="000F6B2D" w:rsidRDefault="00E779CE" w:rsidP="00085885">
      <w:pPr>
        <w:pStyle w:val="ListParagraph"/>
        <w:numPr>
          <w:ilvl w:val="0"/>
          <w:numId w:val="2"/>
        </w:numPr>
        <w:rPr>
          <w:sz w:val="28"/>
        </w:rPr>
      </w:pPr>
      <w:r>
        <w:rPr>
          <w:sz w:val="28"/>
        </w:rPr>
        <w:t>V</w:t>
      </w:r>
      <w:r w:rsidR="00200E02">
        <w:rPr>
          <w:sz w:val="28"/>
        </w:rPr>
        <w:t>irtually certain</w:t>
      </w:r>
      <w:r w:rsidR="00E9258B" w:rsidRPr="000F6B2D">
        <w:rPr>
          <w:sz w:val="28"/>
        </w:rPr>
        <w:t xml:space="preserve"> </w:t>
      </w:r>
      <w:r w:rsidR="00416FFD" w:rsidRPr="000F6B2D">
        <w:rPr>
          <w:sz w:val="28"/>
        </w:rPr>
        <w:t>that</w:t>
      </w:r>
      <w:r w:rsidR="00E9258B" w:rsidRPr="000F6B2D">
        <w:rPr>
          <w:sz w:val="28"/>
        </w:rPr>
        <w:t xml:space="preserve"> the</w:t>
      </w:r>
      <w:r w:rsidR="00416FFD" w:rsidRPr="000F6B2D">
        <w:rPr>
          <w:sz w:val="28"/>
        </w:rPr>
        <w:t xml:space="preserve"> principal </w:t>
      </w:r>
      <w:r>
        <w:rPr>
          <w:sz w:val="28"/>
        </w:rPr>
        <w:t>would</w:t>
      </w:r>
      <w:r w:rsidR="00416FFD" w:rsidRPr="000F6B2D">
        <w:rPr>
          <w:sz w:val="28"/>
        </w:rPr>
        <w:t xml:space="preserve"> </w:t>
      </w:r>
      <w:r w:rsidR="004520CE" w:rsidRPr="000F6B2D">
        <w:rPr>
          <w:sz w:val="28"/>
        </w:rPr>
        <w:t>commit a specific crime</w:t>
      </w:r>
      <w:r w:rsidR="00524E3D">
        <w:rPr>
          <w:sz w:val="28"/>
        </w:rPr>
        <w:t xml:space="preserve"> </w:t>
      </w:r>
      <w:r w:rsidR="00230AB0" w:rsidRPr="000F6B2D">
        <w:rPr>
          <w:sz w:val="28"/>
        </w:rPr>
        <w:t>– call this the “criminal object” element.</w:t>
      </w:r>
    </w:p>
    <w:p w14:paraId="487AD6E1" w14:textId="77777777" w:rsidR="00230AB0" w:rsidRPr="000F6B2D" w:rsidRDefault="00230AB0" w:rsidP="00230AB0">
      <w:pPr>
        <w:pStyle w:val="ListParagraph"/>
        <w:rPr>
          <w:sz w:val="28"/>
        </w:rPr>
      </w:pPr>
    </w:p>
    <w:p w14:paraId="1860E4A5" w14:textId="20CCAB46" w:rsidR="00416FFD" w:rsidRPr="000F6B2D" w:rsidRDefault="00155E09" w:rsidP="00085885">
      <w:pPr>
        <w:pStyle w:val="ListParagraph"/>
        <w:numPr>
          <w:ilvl w:val="0"/>
          <w:numId w:val="2"/>
        </w:numPr>
        <w:rPr>
          <w:sz w:val="28"/>
        </w:rPr>
      </w:pPr>
      <w:r>
        <w:rPr>
          <w:sz w:val="28"/>
        </w:rPr>
        <w:t>V</w:t>
      </w:r>
      <w:r w:rsidR="00200E02">
        <w:rPr>
          <w:sz w:val="28"/>
        </w:rPr>
        <w:t>irtually certain</w:t>
      </w:r>
      <w:r w:rsidR="00E9258B" w:rsidRPr="000F6B2D">
        <w:rPr>
          <w:sz w:val="28"/>
        </w:rPr>
        <w:t xml:space="preserve"> </w:t>
      </w:r>
      <w:r w:rsidR="00416FFD" w:rsidRPr="000F6B2D">
        <w:rPr>
          <w:sz w:val="28"/>
        </w:rPr>
        <w:t>that his</w:t>
      </w:r>
      <w:r w:rsidR="00230AB0" w:rsidRPr="000F6B2D">
        <w:rPr>
          <w:sz w:val="28"/>
        </w:rPr>
        <w:t xml:space="preserve"> acts </w:t>
      </w:r>
      <w:r w:rsidR="00E779CE">
        <w:rPr>
          <w:sz w:val="28"/>
        </w:rPr>
        <w:t>would</w:t>
      </w:r>
      <w:r w:rsidR="00230AB0" w:rsidRPr="000F6B2D">
        <w:rPr>
          <w:sz w:val="28"/>
        </w:rPr>
        <w:t xml:space="preserve"> assist in that crime</w:t>
      </w:r>
      <w:r w:rsidR="000913F4">
        <w:rPr>
          <w:sz w:val="28"/>
        </w:rPr>
        <w:t xml:space="preserve"> if it was, in fact, committed</w:t>
      </w:r>
      <w:r w:rsidR="00230AB0" w:rsidRPr="000F6B2D">
        <w:rPr>
          <w:sz w:val="28"/>
        </w:rPr>
        <w:t xml:space="preserve"> – call this the “assistance” element.</w:t>
      </w:r>
      <w:r w:rsidR="00416FFD" w:rsidRPr="000F6B2D">
        <w:rPr>
          <w:sz w:val="28"/>
        </w:rPr>
        <w:t xml:space="preserve"> </w:t>
      </w:r>
    </w:p>
    <w:p w14:paraId="43BDA414" w14:textId="4F37F3AD" w:rsidR="00E779CE" w:rsidRPr="000F6B2D" w:rsidRDefault="00E779CE" w:rsidP="00F460A1">
      <w:pPr>
        <w:rPr>
          <w:sz w:val="28"/>
        </w:rPr>
      </w:pPr>
      <w:r>
        <w:rPr>
          <w:sz w:val="28"/>
        </w:rPr>
        <w:t xml:space="preserve">Unfortunately, </w:t>
      </w:r>
      <w:r w:rsidR="001E17B8">
        <w:rPr>
          <w:sz w:val="28"/>
        </w:rPr>
        <w:t xml:space="preserve">the </w:t>
      </w:r>
      <w:r w:rsidR="0041250F">
        <w:rPr>
          <w:sz w:val="28"/>
        </w:rPr>
        <w:t>Appeals Chamber</w:t>
      </w:r>
      <w:r w:rsidR="001E17B8">
        <w:rPr>
          <w:sz w:val="28"/>
        </w:rPr>
        <w:t xml:space="preserve"> moved away from the </w:t>
      </w:r>
      <w:r w:rsidR="001E17B8" w:rsidRPr="0055260D">
        <w:rPr>
          <w:i/>
          <w:sz w:val="28"/>
        </w:rPr>
        <w:t>Tadic</w:t>
      </w:r>
      <w:r w:rsidR="001E17B8">
        <w:rPr>
          <w:sz w:val="28"/>
        </w:rPr>
        <w:t xml:space="preserve"> approach in 2004, when it decided </w:t>
      </w:r>
      <w:r w:rsidR="001E17B8" w:rsidRPr="0055260D">
        <w:rPr>
          <w:i/>
          <w:sz w:val="28"/>
        </w:rPr>
        <w:t>Blaskic</w:t>
      </w:r>
      <w:r w:rsidR="001E17B8">
        <w:rPr>
          <w:sz w:val="28"/>
        </w:rPr>
        <w:t xml:space="preserve">. Since </w:t>
      </w:r>
      <w:r w:rsidR="001E17B8" w:rsidRPr="0055260D">
        <w:rPr>
          <w:i/>
          <w:sz w:val="28"/>
        </w:rPr>
        <w:t>Blaskic</w:t>
      </w:r>
      <w:r w:rsidR="001E17B8">
        <w:rPr>
          <w:sz w:val="28"/>
        </w:rPr>
        <w:t xml:space="preserve">, the </w:t>
      </w:r>
      <w:r w:rsidR="0041250F">
        <w:rPr>
          <w:sz w:val="28"/>
        </w:rPr>
        <w:t>Appeals Chamber</w:t>
      </w:r>
      <w:r w:rsidR="001E17B8">
        <w:rPr>
          <w:sz w:val="28"/>
        </w:rPr>
        <w:t xml:space="preserve"> has consistently adopted a much lower </w:t>
      </w:r>
      <w:r w:rsidR="00524E3D" w:rsidRPr="00524E3D">
        <w:rPr>
          <w:i/>
          <w:sz w:val="28"/>
        </w:rPr>
        <w:t>mens rea</w:t>
      </w:r>
      <w:r w:rsidR="0055260D">
        <w:rPr>
          <w:sz w:val="28"/>
        </w:rPr>
        <w:t xml:space="preserve"> </w:t>
      </w:r>
      <w:r w:rsidR="00C366C6">
        <w:rPr>
          <w:sz w:val="28"/>
        </w:rPr>
        <w:t>for</w:t>
      </w:r>
      <w:r w:rsidR="0055260D">
        <w:rPr>
          <w:sz w:val="28"/>
        </w:rPr>
        <w:t xml:space="preserve"> aiding and abetting –</w:t>
      </w:r>
      <w:r w:rsidR="00213AD5">
        <w:rPr>
          <w:sz w:val="28"/>
        </w:rPr>
        <w:t xml:space="preserve"> including in</w:t>
      </w:r>
      <w:r w:rsidR="0055260D">
        <w:rPr>
          <w:sz w:val="28"/>
        </w:rPr>
        <w:t xml:space="preserve"> </w:t>
      </w:r>
      <w:r w:rsidR="0055260D" w:rsidRPr="0055260D">
        <w:rPr>
          <w:i/>
          <w:sz w:val="28"/>
        </w:rPr>
        <w:t>Perisic</w:t>
      </w:r>
      <w:r w:rsidR="0055260D">
        <w:rPr>
          <w:sz w:val="28"/>
        </w:rPr>
        <w:t xml:space="preserve">. Here is the </w:t>
      </w:r>
      <w:r w:rsidR="0055260D" w:rsidRPr="0055260D">
        <w:rPr>
          <w:i/>
          <w:sz w:val="28"/>
        </w:rPr>
        <w:t>Blaskic</w:t>
      </w:r>
      <w:r w:rsidR="0055260D">
        <w:rPr>
          <w:sz w:val="28"/>
        </w:rPr>
        <w:t xml:space="preserve"> formulation:</w:t>
      </w:r>
    </w:p>
    <w:p w14:paraId="626CB4D0" w14:textId="77777777" w:rsidR="00F460A1" w:rsidRPr="000F6B2D" w:rsidRDefault="00F460A1" w:rsidP="00F460A1">
      <w:pPr>
        <w:rPr>
          <w:sz w:val="28"/>
        </w:rPr>
      </w:pPr>
    </w:p>
    <w:p w14:paraId="4D28C9AC" w14:textId="43837479" w:rsidR="00D46DF7" w:rsidRPr="000F6B2D" w:rsidRDefault="00D46DF7" w:rsidP="001E17B8">
      <w:pPr>
        <w:ind w:left="567" w:right="645"/>
      </w:pPr>
      <w:r w:rsidRPr="000F6B2D">
        <w:t xml:space="preserve">[I]t is not necessary that the aider and abettor should know the precise crime that was intended and which in the event was committed. If he is aware that </w:t>
      </w:r>
      <w:r w:rsidRPr="007C1C7A">
        <w:rPr>
          <w:b/>
        </w:rPr>
        <w:t>one of a number of crimes will probably be committed</w:t>
      </w:r>
      <w:r w:rsidRPr="000F6B2D">
        <w:t>, and one of those crimes is in fact committed, he has intended to facilitate the commission of that crime, and is gu</w:t>
      </w:r>
      <w:r w:rsidR="00AF454B" w:rsidRPr="000F6B2D">
        <w:t>ilty as an aider and abettor.</w:t>
      </w:r>
    </w:p>
    <w:p w14:paraId="10C69400" w14:textId="77777777" w:rsidR="00D46DF7" w:rsidRPr="000F6B2D" w:rsidRDefault="00D46DF7">
      <w:pPr>
        <w:rPr>
          <w:sz w:val="28"/>
        </w:rPr>
      </w:pPr>
    </w:p>
    <w:p w14:paraId="32A1EE2F" w14:textId="54B91227" w:rsidR="00230AB0" w:rsidRPr="000F6B2D" w:rsidRDefault="001E17B8" w:rsidP="002006A4">
      <w:pPr>
        <w:rPr>
          <w:sz w:val="28"/>
        </w:rPr>
      </w:pPr>
      <w:r>
        <w:rPr>
          <w:sz w:val="28"/>
        </w:rPr>
        <w:t xml:space="preserve">Under this approach, </w:t>
      </w:r>
      <w:r w:rsidR="0055260D">
        <w:rPr>
          <w:sz w:val="28"/>
        </w:rPr>
        <w:t xml:space="preserve">D </w:t>
      </w:r>
      <w:r w:rsidR="00C366C6">
        <w:rPr>
          <w:sz w:val="28"/>
        </w:rPr>
        <w:t>acted</w:t>
      </w:r>
      <w:r w:rsidR="00F6527D">
        <w:rPr>
          <w:sz w:val="28"/>
        </w:rPr>
        <w:t xml:space="preserve"> with the necessary </w:t>
      </w:r>
      <w:r w:rsidR="00524E3D" w:rsidRPr="00524E3D">
        <w:rPr>
          <w:i/>
          <w:sz w:val="28"/>
        </w:rPr>
        <w:t>mens rea</w:t>
      </w:r>
      <w:r w:rsidR="0055260D">
        <w:rPr>
          <w:sz w:val="28"/>
        </w:rPr>
        <w:t xml:space="preserve"> as long as he was:</w:t>
      </w:r>
    </w:p>
    <w:p w14:paraId="093B3E38" w14:textId="77777777" w:rsidR="00230AB0" w:rsidRPr="000F6B2D" w:rsidRDefault="00230AB0" w:rsidP="002006A4">
      <w:pPr>
        <w:rPr>
          <w:sz w:val="28"/>
        </w:rPr>
      </w:pPr>
    </w:p>
    <w:p w14:paraId="76DE0CFD" w14:textId="309D5544" w:rsidR="00230AB0" w:rsidRPr="000F6B2D" w:rsidRDefault="00230AB0" w:rsidP="00230AB0">
      <w:pPr>
        <w:pStyle w:val="ListParagraph"/>
        <w:numPr>
          <w:ilvl w:val="0"/>
          <w:numId w:val="3"/>
        </w:numPr>
        <w:rPr>
          <w:sz w:val="28"/>
        </w:rPr>
      </w:pPr>
      <w:r w:rsidRPr="000F6B2D">
        <w:rPr>
          <w:sz w:val="28"/>
        </w:rPr>
        <w:t>Aware that the principal</w:t>
      </w:r>
      <w:r w:rsidR="00416FFD" w:rsidRPr="000F6B2D">
        <w:rPr>
          <w:sz w:val="28"/>
        </w:rPr>
        <w:t xml:space="preserve"> </w:t>
      </w:r>
      <w:r w:rsidR="0055260D">
        <w:rPr>
          <w:sz w:val="28"/>
        </w:rPr>
        <w:t>would</w:t>
      </w:r>
      <w:r w:rsidR="00416FFD" w:rsidRPr="000F6B2D">
        <w:rPr>
          <w:sz w:val="28"/>
        </w:rPr>
        <w:t xml:space="preserve"> probably commit </w:t>
      </w:r>
      <w:r w:rsidRPr="000F6B2D">
        <w:rPr>
          <w:sz w:val="28"/>
        </w:rPr>
        <w:t>various unspecified crimes in the future.</w:t>
      </w:r>
    </w:p>
    <w:p w14:paraId="281C15B4" w14:textId="1FF84D08" w:rsidR="00230AB0" w:rsidRPr="000F6B2D" w:rsidRDefault="00230AB0" w:rsidP="00230AB0">
      <w:pPr>
        <w:ind w:firstLine="60"/>
        <w:rPr>
          <w:sz w:val="28"/>
        </w:rPr>
      </w:pPr>
    </w:p>
    <w:p w14:paraId="25C5811B" w14:textId="2DC69944" w:rsidR="00230AB0" w:rsidRPr="000F6B2D" w:rsidRDefault="0055260D" w:rsidP="00230AB0">
      <w:pPr>
        <w:pStyle w:val="ListParagraph"/>
        <w:numPr>
          <w:ilvl w:val="0"/>
          <w:numId w:val="3"/>
        </w:numPr>
        <w:rPr>
          <w:sz w:val="28"/>
        </w:rPr>
      </w:pPr>
      <w:r>
        <w:rPr>
          <w:sz w:val="28"/>
        </w:rPr>
        <w:t>Was</w:t>
      </w:r>
      <w:r w:rsidR="00200E02">
        <w:rPr>
          <w:sz w:val="28"/>
        </w:rPr>
        <w:t xml:space="preserve"> virtuall</w:t>
      </w:r>
      <w:r w:rsidR="00031F25">
        <w:rPr>
          <w:sz w:val="28"/>
        </w:rPr>
        <w:t>y</w:t>
      </w:r>
      <w:r w:rsidR="00200E02">
        <w:rPr>
          <w:sz w:val="28"/>
        </w:rPr>
        <w:t xml:space="preserve"> certain</w:t>
      </w:r>
      <w:r w:rsidR="00230AB0" w:rsidRPr="000F6B2D">
        <w:rPr>
          <w:sz w:val="28"/>
        </w:rPr>
        <w:t xml:space="preserve"> </w:t>
      </w:r>
      <w:r w:rsidR="00416FFD" w:rsidRPr="000F6B2D">
        <w:rPr>
          <w:sz w:val="28"/>
        </w:rPr>
        <w:t xml:space="preserve">that his acts </w:t>
      </w:r>
      <w:r>
        <w:rPr>
          <w:sz w:val="28"/>
        </w:rPr>
        <w:t>would</w:t>
      </w:r>
      <w:r w:rsidR="00416FFD" w:rsidRPr="000F6B2D">
        <w:rPr>
          <w:sz w:val="28"/>
        </w:rPr>
        <w:t xml:space="preserve"> assist those crimes if they </w:t>
      </w:r>
      <w:r>
        <w:rPr>
          <w:sz w:val="28"/>
        </w:rPr>
        <w:t>were</w:t>
      </w:r>
      <w:r w:rsidR="000913F4">
        <w:rPr>
          <w:sz w:val="28"/>
        </w:rPr>
        <w:t>, in fact,</w:t>
      </w:r>
      <w:r w:rsidR="00416FFD" w:rsidRPr="000F6B2D">
        <w:rPr>
          <w:sz w:val="28"/>
        </w:rPr>
        <w:t xml:space="preserve"> committed. </w:t>
      </w:r>
      <w:r w:rsidR="002006A4" w:rsidRPr="000F6B2D">
        <w:rPr>
          <w:sz w:val="28"/>
        </w:rPr>
        <w:t xml:space="preserve"> </w:t>
      </w:r>
    </w:p>
    <w:p w14:paraId="2868598F" w14:textId="77777777" w:rsidR="00230AB0" w:rsidRPr="000F6B2D" w:rsidRDefault="00230AB0" w:rsidP="002006A4">
      <w:pPr>
        <w:rPr>
          <w:sz w:val="28"/>
        </w:rPr>
      </w:pPr>
    </w:p>
    <w:p w14:paraId="2B925220" w14:textId="70351D3D" w:rsidR="00230AB0" w:rsidRPr="000F6B2D" w:rsidRDefault="00230AB0" w:rsidP="002006A4">
      <w:pPr>
        <w:rPr>
          <w:sz w:val="28"/>
        </w:rPr>
      </w:pPr>
      <w:r w:rsidRPr="000F6B2D">
        <w:rPr>
          <w:sz w:val="28"/>
        </w:rPr>
        <w:t>The assistance</w:t>
      </w:r>
      <w:r w:rsidR="00423BC7" w:rsidRPr="000F6B2D">
        <w:rPr>
          <w:sz w:val="28"/>
        </w:rPr>
        <w:t xml:space="preserve"> element</w:t>
      </w:r>
      <w:r w:rsidRPr="000F6B2D">
        <w:rPr>
          <w:sz w:val="28"/>
        </w:rPr>
        <w:t xml:space="preserve"> is </w:t>
      </w:r>
      <w:r w:rsidR="005E5E70">
        <w:rPr>
          <w:sz w:val="28"/>
        </w:rPr>
        <w:t>presumably</w:t>
      </w:r>
      <w:r w:rsidRPr="000F6B2D">
        <w:rPr>
          <w:sz w:val="28"/>
        </w:rPr>
        <w:t xml:space="preserve"> the same in the two standards.  But the criminal-object element is much easier to satisfy in the </w:t>
      </w:r>
      <w:r w:rsidR="0055260D">
        <w:rPr>
          <w:sz w:val="28"/>
        </w:rPr>
        <w:t>new</w:t>
      </w:r>
      <w:r w:rsidRPr="000F6B2D">
        <w:rPr>
          <w:sz w:val="28"/>
        </w:rPr>
        <w:t xml:space="preserve"> standard. There are two basic differences:</w:t>
      </w:r>
    </w:p>
    <w:p w14:paraId="6B8AD46F" w14:textId="77777777" w:rsidR="00230AB0" w:rsidRPr="000F6B2D" w:rsidRDefault="00230AB0" w:rsidP="002006A4">
      <w:pPr>
        <w:rPr>
          <w:sz w:val="28"/>
        </w:rPr>
      </w:pPr>
    </w:p>
    <w:p w14:paraId="46A31DA9" w14:textId="57946E64" w:rsidR="00230AB0" w:rsidRPr="000F6B2D" w:rsidRDefault="00230AB0" w:rsidP="00230AB0">
      <w:pPr>
        <w:pStyle w:val="ListParagraph"/>
        <w:numPr>
          <w:ilvl w:val="0"/>
          <w:numId w:val="4"/>
        </w:numPr>
        <w:rPr>
          <w:sz w:val="28"/>
        </w:rPr>
      </w:pPr>
      <w:r w:rsidRPr="000F6B2D">
        <w:rPr>
          <w:sz w:val="28"/>
        </w:rPr>
        <w:t>D does not have to know that</w:t>
      </w:r>
      <w:r w:rsidR="00E9258B" w:rsidRPr="000F6B2D">
        <w:rPr>
          <w:sz w:val="28"/>
        </w:rPr>
        <w:t xml:space="preserve"> </w:t>
      </w:r>
      <w:r w:rsidR="00C366C6">
        <w:rPr>
          <w:sz w:val="28"/>
        </w:rPr>
        <w:t xml:space="preserve">a </w:t>
      </w:r>
      <w:r w:rsidR="00213AD5">
        <w:rPr>
          <w:sz w:val="28"/>
        </w:rPr>
        <w:t xml:space="preserve">crime </w:t>
      </w:r>
      <w:r w:rsidR="00213AD5" w:rsidRPr="000E212D">
        <w:rPr>
          <w:sz w:val="28"/>
          <w:u w:val="single"/>
        </w:rPr>
        <w:t>will</w:t>
      </w:r>
      <w:r w:rsidR="00213AD5">
        <w:rPr>
          <w:sz w:val="28"/>
        </w:rPr>
        <w:t xml:space="preserve"> be committed; </w:t>
      </w:r>
      <w:r w:rsidR="005E5E70">
        <w:rPr>
          <w:sz w:val="28"/>
        </w:rPr>
        <w:t>awareness that it will</w:t>
      </w:r>
      <w:r w:rsidR="00213AD5">
        <w:rPr>
          <w:sz w:val="28"/>
        </w:rPr>
        <w:t xml:space="preserve"> </w:t>
      </w:r>
      <w:r w:rsidR="005E5E70">
        <w:rPr>
          <w:sz w:val="28"/>
        </w:rPr>
        <w:t>“</w:t>
      </w:r>
      <w:r w:rsidR="005E5E70" w:rsidRPr="000E212D">
        <w:rPr>
          <w:sz w:val="28"/>
          <w:u w:val="single"/>
        </w:rPr>
        <w:t>probably</w:t>
      </w:r>
      <w:r w:rsidR="005E5E70">
        <w:rPr>
          <w:sz w:val="28"/>
        </w:rPr>
        <w:t>” be committed</w:t>
      </w:r>
      <w:r w:rsidRPr="000F6B2D">
        <w:rPr>
          <w:sz w:val="28"/>
        </w:rPr>
        <w:t xml:space="preserve"> is enough.  </w:t>
      </w:r>
    </w:p>
    <w:p w14:paraId="7E8049A2" w14:textId="77777777" w:rsidR="00230AB0" w:rsidRPr="000F6B2D" w:rsidRDefault="00230AB0" w:rsidP="002006A4">
      <w:pPr>
        <w:rPr>
          <w:sz w:val="28"/>
        </w:rPr>
      </w:pPr>
    </w:p>
    <w:p w14:paraId="2AF14CE1" w14:textId="7ADC13D4" w:rsidR="00230AB0" w:rsidRPr="000F6B2D" w:rsidRDefault="00E9258B" w:rsidP="00230AB0">
      <w:pPr>
        <w:pStyle w:val="ListParagraph"/>
        <w:numPr>
          <w:ilvl w:val="0"/>
          <w:numId w:val="4"/>
        </w:numPr>
        <w:rPr>
          <w:sz w:val="28"/>
        </w:rPr>
      </w:pPr>
      <w:r w:rsidRPr="000F6B2D">
        <w:rPr>
          <w:sz w:val="28"/>
        </w:rPr>
        <w:t>D does not have t</w:t>
      </w:r>
      <w:r w:rsidR="00C366C6">
        <w:rPr>
          <w:sz w:val="28"/>
        </w:rPr>
        <w:t xml:space="preserve">o </w:t>
      </w:r>
      <w:r w:rsidR="005E5E70">
        <w:rPr>
          <w:sz w:val="28"/>
        </w:rPr>
        <w:t>be aware</w:t>
      </w:r>
      <w:r w:rsidR="00C366C6">
        <w:rPr>
          <w:sz w:val="28"/>
        </w:rPr>
        <w:t xml:space="preserve"> that the principal will probably</w:t>
      </w:r>
      <w:r w:rsidRPr="000F6B2D">
        <w:rPr>
          <w:sz w:val="28"/>
        </w:rPr>
        <w:t xml:space="preserve"> commit a </w:t>
      </w:r>
      <w:r w:rsidRPr="000E212D">
        <w:rPr>
          <w:sz w:val="28"/>
          <w:u w:val="single"/>
        </w:rPr>
        <w:t>specific</w:t>
      </w:r>
      <w:r w:rsidRPr="000F6B2D">
        <w:rPr>
          <w:sz w:val="28"/>
        </w:rPr>
        <w:t xml:space="preserve"> crime; </w:t>
      </w:r>
      <w:r w:rsidR="005E5E70">
        <w:rPr>
          <w:sz w:val="28"/>
        </w:rPr>
        <w:t xml:space="preserve">awareness of </w:t>
      </w:r>
      <w:r w:rsidR="00C366C6">
        <w:rPr>
          <w:sz w:val="28"/>
        </w:rPr>
        <w:t>the probable commission of</w:t>
      </w:r>
      <w:r w:rsidRPr="000F6B2D">
        <w:rPr>
          <w:sz w:val="28"/>
        </w:rPr>
        <w:t xml:space="preserve"> </w:t>
      </w:r>
      <w:r w:rsidRPr="000F6B2D">
        <w:rPr>
          <w:sz w:val="28"/>
          <w:u w:val="single"/>
        </w:rPr>
        <w:t>any</w:t>
      </w:r>
      <w:r w:rsidRPr="000F6B2D">
        <w:rPr>
          <w:sz w:val="28"/>
        </w:rPr>
        <w:t xml:space="preserve"> kind of </w:t>
      </w:r>
      <w:r w:rsidR="00230AB0" w:rsidRPr="000F6B2D">
        <w:rPr>
          <w:sz w:val="28"/>
        </w:rPr>
        <w:t xml:space="preserve">crime </w:t>
      </w:r>
      <w:r w:rsidRPr="000F6B2D">
        <w:rPr>
          <w:sz w:val="28"/>
        </w:rPr>
        <w:t xml:space="preserve">is enough. </w:t>
      </w:r>
    </w:p>
    <w:p w14:paraId="74B15D9C" w14:textId="77777777" w:rsidR="00230AB0" w:rsidRPr="000F6B2D" w:rsidRDefault="00230AB0" w:rsidP="002006A4">
      <w:pPr>
        <w:rPr>
          <w:sz w:val="28"/>
        </w:rPr>
      </w:pPr>
    </w:p>
    <w:p w14:paraId="54A3336A" w14:textId="1C37B144" w:rsidR="006B6682" w:rsidRDefault="0055260D">
      <w:pPr>
        <w:rPr>
          <w:sz w:val="28"/>
        </w:rPr>
      </w:pPr>
      <w:r>
        <w:rPr>
          <w:sz w:val="28"/>
        </w:rPr>
        <w:t>T</w:t>
      </w:r>
      <w:r w:rsidR="003043E7">
        <w:rPr>
          <w:sz w:val="28"/>
        </w:rPr>
        <w:t xml:space="preserve">he </w:t>
      </w:r>
      <w:r w:rsidR="003043E7" w:rsidRPr="006B6682">
        <w:rPr>
          <w:i/>
          <w:sz w:val="28"/>
        </w:rPr>
        <w:t>Blaskic</w:t>
      </w:r>
      <w:r w:rsidR="003043E7">
        <w:rPr>
          <w:sz w:val="28"/>
        </w:rPr>
        <w:t xml:space="preserve"> standard, in other words,</w:t>
      </w:r>
      <w:r>
        <w:rPr>
          <w:sz w:val="28"/>
        </w:rPr>
        <w:t xml:space="preserve"> </w:t>
      </w:r>
      <w:r w:rsidR="00667F98">
        <w:rPr>
          <w:sz w:val="28"/>
        </w:rPr>
        <w:t xml:space="preserve">effectively </w:t>
      </w:r>
      <w:r w:rsidR="00322BB9" w:rsidRPr="000F6B2D">
        <w:rPr>
          <w:sz w:val="28"/>
        </w:rPr>
        <w:t>lowers the</w:t>
      </w:r>
      <w:r w:rsidR="005E5E70">
        <w:rPr>
          <w:sz w:val="28"/>
        </w:rPr>
        <w:t xml:space="preserve"> criminal-object </w:t>
      </w:r>
      <w:r w:rsidR="007C1C7A" w:rsidRPr="007C1C7A">
        <w:rPr>
          <w:i/>
          <w:sz w:val="28"/>
        </w:rPr>
        <w:t>mens rea</w:t>
      </w:r>
      <w:r w:rsidR="005E5E70">
        <w:rPr>
          <w:sz w:val="28"/>
        </w:rPr>
        <w:t xml:space="preserve"> of </w:t>
      </w:r>
      <w:r>
        <w:rPr>
          <w:sz w:val="28"/>
        </w:rPr>
        <w:t>aiding and abetting</w:t>
      </w:r>
      <w:r w:rsidR="00322BB9" w:rsidRPr="000F6B2D">
        <w:rPr>
          <w:sz w:val="28"/>
        </w:rPr>
        <w:t xml:space="preserve"> from </w:t>
      </w:r>
      <w:r w:rsidR="00322BB9" w:rsidRPr="000F6B2D">
        <w:rPr>
          <w:sz w:val="28"/>
          <w:u w:val="single"/>
        </w:rPr>
        <w:t>knowledge</w:t>
      </w:r>
      <w:r w:rsidR="00322BB9" w:rsidRPr="000F6B2D">
        <w:rPr>
          <w:sz w:val="28"/>
        </w:rPr>
        <w:t xml:space="preserve"> to </w:t>
      </w:r>
      <w:r w:rsidR="00322BB9" w:rsidRPr="000F6B2D">
        <w:rPr>
          <w:sz w:val="28"/>
          <w:u w:val="single"/>
        </w:rPr>
        <w:t>recklessness</w:t>
      </w:r>
      <w:r w:rsidR="006B6682">
        <w:rPr>
          <w:sz w:val="28"/>
        </w:rPr>
        <w:t>.</w:t>
      </w:r>
    </w:p>
    <w:p w14:paraId="0EF51CF5" w14:textId="77777777" w:rsidR="00A16901" w:rsidRDefault="00A16901">
      <w:pPr>
        <w:rPr>
          <w:sz w:val="28"/>
        </w:rPr>
      </w:pPr>
    </w:p>
    <w:p w14:paraId="1C1564A0" w14:textId="6C648B2A" w:rsidR="00416FFD" w:rsidRDefault="006B6682">
      <w:pPr>
        <w:rPr>
          <w:sz w:val="28"/>
        </w:rPr>
      </w:pPr>
      <w:r>
        <w:rPr>
          <w:sz w:val="28"/>
        </w:rPr>
        <w:t xml:space="preserve">I think that standard is problematic in any context – but it is particularly problematic in the context of neutral assistance to organizations that are not inherently criminal. As long as </w:t>
      </w:r>
      <w:r w:rsidR="00993B67">
        <w:rPr>
          <w:sz w:val="28"/>
        </w:rPr>
        <w:t>our</w:t>
      </w:r>
      <w:r>
        <w:rPr>
          <w:sz w:val="28"/>
        </w:rPr>
        <w:t xml:space="preserve"> well-intentioned military commander knows someone in the organization will “probably” commit some kind of crime in the future, his neutral assistance will be criminal if it ends up – </w:t>
      </w:r>
      <w:r w:rsidR="00A16901">
        <w:rPr>
          <w:sz w:val="28"/>
        </w:rPr>
        <w:t xml:space="preserve">even </w:t>
      </w:r>
      <w:r>
        <w:rPr>
          <w:sz w:val="28"/>
        </w:rPr>
        <w:t xml:space="preserve">despite his best efforts – having a substantial effect on </w:t>
      </w:r>
      <w:r w:rsidR="00993B67">
        <w:rPr>
          <w:sz w:val="28"/>
        </w:rPr>
        <w:t>whatever</w:t>
      </w:r>
      <w:r>
        <w:rPr>
          <w:sz w:val="28"/>
        </w:rPr>
        <w:t xml:space="preserve"> crime is actually committed. </w:t>
      </w:r>
    </w:p>
    <w:p w14:paraId="3D1442D1" w14:textId="15434A66" w:rsidR="002971C5" w:rsidRPr="005E1300" w:rsidRDefault="006B6682" w:rsidP="002971C5">
      <w:pPr>
        <w:rPr>
          <w:b/>
          <w:sz w:val="28"/>
        </w:rPr>
      </w:pPr>
      <w:r>
        <w:rPr>
          <w:sz w:val="28"/>
        </w:rPr>
        <w:t xml:space="preserve">And that brings us to the third and final possible limiting principle, </w:t>
      </w:r>
      <w:r w:rsidR="00993B67">
        <w:rPr>
          <w:sz w:val="28"/>
        </w:rPr>
        <w:t>this one operating</w:t>
      </w:r>
      <w:r>
        <w:rPr>
          <w:sz w:val="28"/>
        </w:rPr>
        <w:t xml:space="preserve"> at the level of </w:t>
      </w:r>
      <w:r w:rsidR="00524E3D" w:rsidRPr="00524E3D">
        <w:rPr>
          <w:i/>
          <w:sz w:val="28"/>
        </w:rPr>
        <w:t>actus reus</w:t>
      </w:r>
      <w:r w:rsidR="00236314">
        <w:rPr>
          <w:sz w:val="28"/>
        </w:rPr>
        <w:t xml:space="preserve"> – the SDR. That requirement </w:t>
      </w:r>
      <w:r>
        <w:rPr>
          <w:sz w:val="28"/>
        </w:rPr>
        <w:t xml:space="preserve">provides a normatively satisfying solution to the dilemma the majority faced in </w:t>
      </w:r>
      <w:r w:rsidRPr="00C366C6">
        <w:rPr>
          <w:i/>
          <w:sz w:val="28"/>
        </w:rPr>
        <w:t>Perisic</w:t>
      </w:r>
      <w:r w:rsidR="00236314">
        <w:rPr>
          <w:sz w:val="28"/>
        </w:rPr>
        <w:t xml:space="preserve">. In </w:t>
      </w:r>
      <w:r w:rsidR="007C1C7A">
        <w:rPr>
          <w:sz w:val="28"/>
        </w:rPr>
        <w:t>the majority’s</w:t>
      </w:r>
      <w:r w:rsidR="00236314">
        <w:rPr>
          <w:sz w:val="28"/>
        </w:rPr>
        <w:t xml:space="preserve"> words, when</w:t>
      </w:r>
      <w:r w:rsidR="005E5E70">
        <w:rPr>
          <w:sz w:val="28"/>
          <w:szCs w:val="20"/>
        </w:rPr>
        <w:t xml:space="preserve"> dealing with neutral assistance to organizations that are not inherently criminal, </w:t>
      </w:r>
      <w:r w:rsidR="002971C5" w:rsidRPr="005E1300">
        <w:rPr>
          <w:sz w:val="28"/>
        </w:rPr>
        <w:t>the</w:t>
      </w:r>
      <w:r w:rsidR="002971C5">
        <w:rPr>
          <w:sz w:val="28"/>
        </w:rPr>
        <w:t xml:space="preserve"> SDR provides the necessary </w:t>
      </w:r>
      <w:r w:rsidR="002971C5" w:rsidRPr="002971C5">
        <w:rPr>
          <w:i/>
          <w:sz w:val="28"/>
        </w:rPr>
        <w:t>“</w:t>
      </w:r>
      <w:r w:rsidR="002971C5" w:rsidRPr="002971C5">
        <w:rPr>
          <w:i/>
          <w:sz w:val="28"/>
          <w:szCs w:val="20"/>
        </w:rPr>
        <w:t>culpable link between assistance provided by an accused individual and the c</w:t>
      </w:r>
      <w:r w:rsidR="005E1300">
        <w:rPr>
          <w:i/>
          <w:sz w:val="28"/>
          <w:szCs w:val="20"/>
        </w:rPr>
        <w:t>rimes of principal perpetrators</w:t>
      </w:r>
      <w:r w:rsidR="005E5E70">
        <w:rPr>
          <w:i/>
          <w:sz w:val="28"/>
          <w:szCs w:val="20"/>
        </w:rPr>
        <w:t>.</w:t>
      </w:r>
      <w:r w:rsidR="002971C5" w:rsidRPr="002971C5">
        <w:rPr>
          <w:i/>
          <w:sz w:val="28"/>
          <w:szCs w:val="20"/>
        </w:rPr>
        <w:t>”</w:t>
      </w:r>
      <w:r w:rsidR="005E1300">
        <w:rPr>
          <w:i/>
          <w:sz w:val="28"/>
          <w:szCs w:val="20"/>
        </w:rPr>
        <w:t xml:space="preserve"> </w:t>
      </w:r>
    </w:p>
    <w:p w14:paraId="779EA1BD" w14:textId="77777777" w:rsidR="00803867" w:rsidRPr="000F6B2D" w:rsidRDefault="00803867">
      <w:pPr>
        <w:rPr>
          <w:sz w:val="28"/>
        </w:rPr>
      </w:pPr>
    </w:p>
    <w:p w14:paraId="414B38E5" w14:textId="470593A9" w:rsidR="00F470FB" w:rsidRPr="000F6B2D" w:rsidRDefault="00B12579" w:rsidP="00B12579">
      <w:pPr>
        <w:jc w:val="center"/>
        <w:rPr>
          <w:b/>
          <w:sz w:val="28"/>
        </w:rPr>
      </w:pPr>
      <w:r w:rsidRPr="000F6B2D">
        <w:rPr>
          <w:b/>
          <w:sz w:val="28"/>
        </w:rPr>
        <w:t>THE FUTURE</w:t>
      </w:r>
    </w:p>
    <w:p w14:paraId="17F9805B" w14:textId="77777777" w:rsidR="00F470FB" w:rsidRDefault="00F470FB">
      <w:pPr>
        <w:rPr>
          <w:sz w:val="28"/>
        </w:rPr>
      </w:pPr>
    </w:p>
    <w:p w14:paraId="07D04241" w14:textId="41E05FB9" w:rsidR="00C03A3A" w:rsidRDefault="00C03A3A">
      <w:pPr>
        <w:rPr>
          <w:sz w:val="28"/>
        </w:rPr>
      </w:pPr>
      <w:r>
        <w:rPr>
          <w:sz w:val="28"/>
        </w:rPr>
        <w:t xml:space="preserve">I want to end this presentation by briefly discussing the future of the SDR. There are very few cases remaining at the ICTY and the ICTR, and the SCSL has obviously already rejected the requirement. The real question, then, is whether the majority’s judgment in </w:t>
      </w:r>
      <w:r w:rsidRPr="00C03A3A">
        <w:rPr>
          <w:i/>
          <w:sz w:val="28"/>
        </w:rPr>
        <w:t>Perisic</w:t>
      </w:r>
      <w:r>
        <w:rPr>
          <w:sz w:val="28"/>
        </w:rPr>
        <w:t xml:space="preserve"> will have any effect on the jurisprudence of the ICC.</w:t>
      </w:r>
    </w:p>
    <w:p w14:paraId="062580F2" w14:textId="77777777" w:rsidR="00C03A3A" w:rsidRPr="000F6B2D" w:rsidRDefault="00C03A3A">
      <w:pPr>
        <w:rPr>
          <w:sz w:val="28"/>
        </w:rPr>
      </w:pPr>
    </w:p>
    <w:p w14:paraId="1B3ED921" w14:textId="12D41675" w:rsidR="00B12579" w:rsidRPr="00A10FE5" w:rsidRDefault="00C03A3A">
      <w:pPr>
        <w:rPr>
          <w:sz w:val="28"/>
        </w:rPr>
      </w:pPr>
      <w:r>
        <w:rPr>
          <w:sz w:val="28"/>
        </w:rPr>
        <w:t xml:space="preserve">The relevant provision, of course, is Art. 25(3)(d), which </w:t>
      </w:r>
      <w:r w:rsidR="00321061">
        <w:rPr>
          <w:sz w:val="28"/>
        </w:rPr>
        <w:t>criminalizes</w:t>
      </w:r>
      <w:r>
        <w:rPr>
          <w:sz w:val="28"/>
        </w:rPr>
        <w:t xml:space="preserve"> assistance to </w:t>
      </w:r>
      <w:r w:rsidR="00321061">
        <w:rPr>
          <w:sz w:val="28"/>
        </w:rPr>
        <w:t>a group</w:t>
      </w:r>
      <w:r w:rsidR="00A10FE5">
        <w:rPr>
          <w:sz w:val="28"/>
        </w:rPr>
        <w:t xml:space="preserve"> </w:t>
      </w:r>
      <w:r w:rsidR="00A10FE5" w:rsidRPr="00A10FE5">
        <w:rPr>
          <w:i/>
          <w:sz w:val="28"/>
        </w:rPr>
        <w:t>“when made in the knowledge of the group to commit the crime</w:t>
      </w:r>
      <w:r w:rsidR="00A10FE5">
        <w:rPr>
          <w:i/>
          <w:sz w:val="28"/>
        </w:rPr>
        <w:t xml:space="preserve">.” </w:t>
      </w:r>
      <w:r w:rsidR="00A10FE5">
        <w:rPr>
          <w:sz w:val="28"/>
        </w:rPr>
        <w:t>Here is the text of the provision:</w:t>
      </w:r>
    </w:p>
    <w:p w14:paraId="46366868" w14:textId="77777777" w:rsidR="000525BE" w:rsidRDefault="000525BE">
      <w:pPr>
        <w:rPr>
          <w:sz w:val="28"/>
        </w:rPr>
      </w:pPr>
    </w:p>
    <w:p w14:paraId="35D5F436" w14:textId="41AEBBBF" w:rsidR="004367BE" w:rsidRPr="004367BE" w:rsidRDefault="004367BE" w:rsidP="004367BE">
      <w:pPr>
        <w:ind w:left="567" w:right="645"/>
      </w:pPr>
      <w:r w:rsidRPr="004367BE">
        <w:t>In accordance with this Statute, a person shall be criminally responsible and liable for punishment for a crime within the jurisdict</w:t>
      </w:r>
      <w:r>
        <w:t xml:space="preserve">ion of the Court if that person… </w:t>
      </w:r>
      <w:r w:rsidRPr="004367BE">
        <w:t xml:space="preserve"> </w:t>
      </w:r>
      <w:r>
        <w:t>(d)</w:t>
      </w:r>
      <w:r w:rsidRPr="004367BE">
        <w:t xml:space="preserve"> In any other way contributes to the commission or attempted commission of such a crime by a group of persons acting with a common purpose. Such contribution shall be intentional and shall either:</w:t>
      </w:r>
    </w:p>
    <w:p w14:paraId="1D5E2132" w14:textId="77777777" w:rsidR="004367BE" w:rsidRDefault="004367BE" w:rsidP="004367BE">
      <w:pPr>
        <w:ind w:left="567" w:right="645"/>
      </w:pPr>
    </w:p>
    <w:p w14:paraId="3778180D" w14:textId="77777777" w:rsidR="004367BE" w:rsidRDefault="004367BE" w:rsidP="004367BE">
      <w:pPr>
        <w:pStyle w:val="ListParagraph"/>
        <w:numPr>
          <w:ilvl w:val="0"/>
          <w:numId w:val="14"/>
        </w:numPr>
        <w:ind w:right="645"/>
      </w:pPr>
      <w:r w:rsidRPr="004367BE">
        <w:t>Be made with the aim of furthering the criminal activity or criminal purpose of the group, where such activity or purpose involves the commission of a crime within the jurisdiction of the Court; or</w:t>
      </w:r>
    </w:p>
    <w:p w14:paraId="3F438BB4" w14:textId="77777777" w:rsidR="004367BE" w:rsidRDefault="004367BE" w:rsidP="004367BE">
      <w:pPr>
        <w:ind w:left="567" w:right="645"/>
      </w:pPr>
    </w:p>
    <w:p w14:paraId="50B51CCD" w14:textId="1B712526" w:rsidR="004367BE" w:rsidRPr="00A8053A" w:rsidRDefault="004367BE" w:rsidP="004367BE">
      <w:pPr>
        <w:pStyle w:val="ListParagraph"/>
        <w:numPr>
          <w:ilvl w:val="0"/>
          <w:numId w:val="14"/>
        </w:numPr>
        <w:ind w:right="645"/>
        <w:rPr>
          <w:b/>
        </w:rPr>
      </w:pPr>
      <w:r w:rsidRPr="00A8053A">
        <w:rPr>
          <w:b/>
        </w:rPr>
        <w:t>Be made in the knowledge of the intention of the group to commit the crime.</w:t>
      </w:r>
    </w:p>
    <w:p w14:paraId="3DC94918" w14:textId="77777777" w:rsidR="00C03A3A" w:rsidRPr="000F6B2D" w:rsidRDefault="00C03A3A">
      <w:pPr>
        <w:rPr>
          <w:sz w:val="28"/>
        </w:rPr>
      </w:pPr>
    </w:p>
    <w:p w14:paraId="7D24C0A7" w14:textId="6D6E39C1" w:rsidR="00F21D74" w:rsidRDefault="00243801" w:rsidP="00F21D74">
      <w:pPr>
        <w:rPr>
          <w:sz w:val="28"/>
        </w:rPr>
      </w:pPr>
      <w:r>
        <w:rPr>
          <w:sz w:val="28"/>
        </w:rPr>
        <w:t>Would the ICC adopt the SDR in a future case? It’</w:t>
      </w:r>
      <w:r w:rsidR="00F21D74">
        <w:rPr>
          <w:sz w:val="28"/>
        </w:rPr>
        <w:t>s difficult to know, because the Court’s aiding an</w:t>
      </w:r>
      <w:r w:rsidR="00321061">
        <w:rPr>
          <w:sz w:val="28"/>
        </w:rPr>
        <w:t>d</w:t>
      </w:r>
      <w:r w:rsidR="00F21D74">
        <w:rPr>
          <w:sz w:val="28"/>
        </w:rPr>
        <w:t xml:space="preserve"> abetting jurisprudence is in complete </w:t>
      </w:r>
      <w:r w:rsidR="00A8053A">
        <w:rPr>
          <w:sz w:val="28"/>
        </w:rPr>
        <w:t>disarray</w:t>
      </w:r>
      <w:r w:rsidR="00F21D74">
        <w:rPr>
          <w:sz w:val="28"/>
        </w:rPr>
        <w:t xml:space="preserve">. In terms of </w:t>
      </w:r>
      <w:r w:rsidR="00524E3D" w:rsidRPr="00524E3D">
        <w:rPr>
          <w:i/>
          <w:sz w:val="28"/>
        </w:rPr>
        <w:t>actus reus</w:t>
      </w:r>
      <w:r w:rsidR="005E30E8">
        <w:rPr>
          <w:sz w:val="28"/>
        </w:rPr>
        <w:t xml:space="preserve">, </w:t>
      </w:r>
      <w:r w:rsidR="00A8053A">
        <w:rPr>
          <w:sz w:val="28"/>
        </w:rPr>
        <w:t xml:space="preserve">two </w:t>
      </w:r>
      <w:r w:rsidR="005E30E8">
        <w:rPr>
          <w:sz w:val="28"/>
        </w:rPr>
        <w:t>PTCs have disagreed with each other</w:t>
      </w:r>
      <w:r w:rsidR="00F21D74">
        <w:rPr>
          <w:sz w:val="28"/>
        </w:rPr>
        <w:t>:</w:t>
      </w:r>
    </w:p>
    <w:p w14:paraId="404698AE" w14:textId="77777777" w:rsidR="00F21D74" w:rsidRDefault="00F21D74" w:rsidP="00F21D74">
      <w:pPr>
        <w:rPr>
          <w:sz w:val="28"/>
        </w:rPr>
      </w:pPr>
    </w:p>
    <w:p w14:paraId="28F24CEE" w14:textId="56150ECF" w:rsidR="00F21D74" w:rsidRPr="00836C86" w:rsidRDefault="005E30E8" w:rsidP="00836C86">
      <w:pPr>
        <w:pStyle w:val="ListParagraph"/>
        <w:numPr>
          <w:ilvl w:val="0"/>
          <w:numId w:val="12"/>
        </w:numPr>
        <w:rPr>
          <w:sz w:val="28"/>
        </w:rPr>
      </w:pPr>
      <w:r>
        <w:rPr>
          <w:sz w:val="28"/>
        </w:rPr>
        <w:t>I</w:t>
      </w:r>
      <w:r w:rsidRPr="00836C86">
        <w:rPr>
          <w:sz w:val="28"/>
        </w:rPr>
        <w:t xml:space="preserve">n </w:t>
      </w:r>
      <w:r w:rsidRPr="00836C86">
        <w:rPr>
          <w:i/>
          <w:sz w:val="28"/>
        </w:rPr>
        <w:t>Mbarushimana</w:t>
      </w:r>
      <w:r>
        <w:rPr>
          <w:sz w:val="28"/>
        </w:rPr>
        <w:t>, b</w:t>
      </w:r>
      <w:r w:rsidR="00F21D74" w:rsidRPr="00836C86">
        <w:rPr>
          <w:sz w:val="28"/>
        </w:rPr>
        <w:t xml:space="preserve">ased on ICTY jurisprudence, PTC I adopted a </w:t>
      </w:r>
      <w:r w:rsidR="00F21D74" w:rsidRPr="00A10FE5">
        <w:rPr>
          <w:i/>
          <w:sz w:val="28"/>
        </w:rPr>
        <w:t>“significant contribution”</w:t>
      </w:r>
      <w:r w:rsidR="00F21D74" w:rsidRPr="00836C86">
        <w:rPr>
          <w:sz w:val="28"/>
        </w:rPr>
        <w:t xml:space="preserve"> test.  </w:t>
      </w:r>
    </w:p>
    <w:p w14:paraId="68686126" w14:textId="77777777" w:rsidR="00F21D74" w:rsidRDefault="00F21D74" w:rsidP="00F21D74">
      <w:pPr>
        <w:rPr>
          <w:sz w:val="28"/>
        </w:rPr>
      </w:pPr>
    </w:p>
    <w:p w14:paraId="6A5576FB" w14:textId="1E1FFF82" w:rsidR="00F21D74" w:rsidRPr="00836C86" w:rsidRDefault="00A10FE5" w:rsidP="00836C86">
      <w:pPr>
        <w:pStyle w:val="ListParagraph"/>
        <w:numPr>
          <w:ilvl w:val="0"/>
          <w:numId w:val="12"/>
        </w:numPr>
        <w:rPr>
          <w:sz w:val="28"/>
        </w:rPr>
      </w:pPr>
      <w:r>
        <w:rPr>
          <w:sz w:val="28"/>
        </w:rPr>
        <w:t>By contrast, i</w:t>
      </w:r>
      <w:r w:rsidR="005E30E8">
        <w:rPr>
          <w:sz w:val="28"/>
        </w:rPr>
        <w:t xml:space="preserve">n </w:t>
      </w:r>
      <w:r w:rsidR="005E30E8" w:rsidRPr="005E30E8">
        <w:rPr>
          <w:i/>
          <w:sz w:val="28"/>
        </w:rPr>
        <w:t>Ruto and others</w:t>
      </w:r>
      <w:r w:rsidR="005E30E8">
        <w:rPr>
          <w:sz w:val="28"/>
        </w:rPr>
        <w:t xml:space="preserve">, </w:t>
      </w:r>
      <w:r w:rsidR="00F21D74" w:rsidRPr="00836C86">
        <w:rPr>
          <w:sz w:val="28"/>
        </w:rPr>
        <w:t xml:space="preserve">PTC II </w:t>
      </w:r>
      <w:r w:rsidR="00A8053A">
        <w:rPr>
          <w:sz w:val="28"/>
        </w:rPr>
        <w:t xml:space="preserve">specifically </w:t>
      </w:r>
      <w:r w:rsidR="00F21D74" w:rsidRPr="00836C86">
        <w:rPr>
          <w:sz w:val="28"/>
        </w:rPr>
        <w:t>rejected the “significant contribution” test</w:t>
      </w:r>
      <w:r w:rsidR="00542A4E">
        <w:rPr>
          <w:sz w:val="28"/>
        </w:rPr>
        <w:t xml:space="preserve"> – but did not</w:t>
      </w:r>
      <w:r>
        <w:rPr>
          <w:sz w:val="28"/>
        </w:rPr>
        <w:t xml:space="preserve"> bother to</w:t>
      </w:r>
      <w:r w:rsidR="00542A4E">
        <w:rPr>
          <w:sz w:val="28"/>
        </w:rPr>
        <w:t xml:space="preserve"> </w:t>
      </w:r>
      <w:r w:rsidR="00A8053A">
        <w:rPr>
          <w:sz w:val="28"/>
        </w:rPr>
        <w:t>identity</w:t>
      </w:r>
      <w:r w:rsidR="00F21D74" w:rsidRPr="00836C86">
        <w:rPr>
          <w:sz w:val="28"/>
        </w:rPr>
        <w:t xml:space="preserve"> </w:t>
      </w:r>
      <w:r w:rsidR="00542A4E">
        <w:rPr>
          <w:sz w:val="28"/>
        </w:rPr>
        <w:t xml:space="preserve">the </w:t>
      </w:r>
      <w:r w:rsidR="00F21D74" w:rsidRPr="00836C86">
        <w:rPr>
          <w:sz w:val="28"/>
        </w:rPr>
        <w:t xml:space="preserve">minimum </w:t>
      </w:r>
      <w:r w:rsidR="00542A4E">
        <w:rPr>
          <w:sz w:val="28"/>
        </w:rPr>
        <w:t>contribution</w:t>
      </w:r>
      <w:r w:rsidR="00A8053A">
        <w:rPr>
          <w:sz w:val="28"/>
        </w:rPr>
        <w:t xml:space="preserve"> required</w:t>
      </w:r>
      <w:r w:rsidR="00F21D74" w:rsidRPr="00836C86">
        <w:rPr>
          <w:sz w:val="28"/>
        </w:rPr>
        <w:t>.</w:t>
      </w:r>
    </w:p>
    <w:p w14:paraId="6BC27B9C" w14:textId="77777777" w:rsidR="00F21D74" w:rsidRDefault="00F21D74" w:rsidP="00F21D74">
      <w:pPr>
        <w:rPr>
          <w:sz w:val="28"/>
        </w:rPr>
      </w:pPr>
    </w:p>
    <w:p w14:paraId="557B8F93" w14:textId="0685FB2B" w:rsidR="00F21D74" w:rsidRPr="00D83ABE" w:rsidRDefault="001946AF">
      <w:pPr>
        <w:rPr>
          <w:sz w:val="28"/>
        </w:rPr>
      </w:pPr>
      <w:r>
        <w:rPr>
          <w:sz w:val="28"/>
        </w:rPr>
        <w:t xml:space="preserve">If the </w:t>
      </w:r>
      <w:r w:rsidR="0041250F">
        <w:rPr>
          <w:sz w:val="28"/>
        </w:rPr>
        <w:t>Appeals Chamber</w:t>
      </w:r>
      <w:r>
        <w:rPr>
          <w:sz w:val="28"/>
        </w:rPr>
        <w:t xml:space="preserve"> ultimately follows </w:t>
      </w:r>
      <w:r w:rsidRPr="00542A4E">
        <w:rPr>
          <w:i/>
          <w:sz w:val="28"/>
        </w:rPr>
        <w:t>Ruto and others</w:t>
      </w:r>
      <w:r>
        <w:rPr>
          <w:sz w:val="28"/>
        </w:rPr>
        <w:t xml:space="preserve">, it will </w:t>
      </w:r>
      <w:r w:rsidR="00993B67">
        <w:rPr>
          <w:sz w:val="28"/>
        </w:rPr>
        <w:t>need</w:t>
      </w:r>
      <w:r>
        <w:rPr>
          <w:sz w:val="28"/>
        </w:rPr>
        <w:t xml:space="preserve"> to at least </w:t>
      </w:r>
      <w:r w:rsidRPr="00993B67">
        <w:rPr>
          <w:sz w:val="28"/>
          <w:u w:val="single"/>
        </w:rPr>
        <w:t>consider</w:t>
      </w:r>
      <w:r>
        <w:rPr>
          <w:sz w:val="28"/>
        </w:rPr>
        <w:t xml:space="preserve"> adopting something like the SDR. </w:t>
      </w:r>
      <w:r w:rsidR="00D83ABE">
        <w:rPr>
          <w:sz w:val="28"/>
        </w:rPr>
        <w:t xml:space="preserve"> It is impossible to justify an </w:t>
      </w:r>
      <w:r w:rsidR="00D83ABE" w:rsidRPr="00D83ABE">
        <w:rPr>
          <w:i/>
          <w:sz w:val="28"/>
        </w:rPr>
        <w:t>actus reus</w:t>
      </w:r>
      <w:r w:rsidR="00D83ABE">
        <w:rPr>
          <w:sz w:val="28"/>
        </w:rPr>
        <w:t xml:space="preserve"> of aiding and abetting that requires </w:t>
      </w:r>
      <w:r w:rsidR="00D83ABE">
        <w:rPr>
          <w:sz w:val="28"/>
          <w:u w:val="single"/>
        </w:rPr>
        <w:t>neither</w:t>
      </w:r>
      <w:r w:rsidR="00D83ABE">
        <w:rPr>
          <w:sz w:val="28"/>
        </w:rPr>
        <w:t xml:space="preserve"> significant contribution nor specific direction.</w:t>
      </w:r>
    </w:p>
    <w:p w14:paraId="212BC00A" w14:textId="77777777" w:rsidR="001946AF" w:rsidRDefault="001946AF">
      <w:pPr>
        <w:rPr>
          <w:sz w:val="28"/>
        </w:rPr>
      </w:pPr>
    </w:p>
    <w:p w14:paraId="0A35049A" w14:textId="26A24D52" w:rsidR="004367BE" w:rsidRDefault="005E30E8">
      <w:pPr>
        <w:rPr>
          <w:sz w:val="28"/>
        </w:rPr>
      </w:pPr>
      <w:r>
        <w:rPr>
          <w:sz w:val="28"/>
        </w:rPr>
        <w:t xml:space="preserve">The </w:t>
      </w:r>
      <w:r w:rsidR="00524E3D" w:rsidRPr="00524E3D">
        <w:rPr>
          <w:i/>
          <w:sz w:val="28"/>
        </w:rPr>
        <w:t>mens rea</w:t>
      </w:r>
      <w:r>
        <w:rPr>
          <w:sz w:val="28"/>
        </w:rPr>
        <w:t xml:space="preserve"> </w:t>
      </w:r>
      <w:r w:rsidR="001946AF">
        <w:rPr>
          <w:sz w:val="28"/>
        </w:rPr>
        <w:t xml:space="preserve">of aiding and abetting is similarly unsettled. </w:t>
      </w:r>
      <w:r w:rsidR="00243801">
        <w:rPr>
          <w:sz w:val="28"/>
        </w:rPr>
        <w:t xml:space="preserve">Art. 30 of the Rome Statute defines knowledge </w:t>
      </w:r>
      <w:r w:rsidR="00F21D74">
        <w:rPr>
          <w:sz w:val="28"/>
        </w:rPr>
        <w:t xml:space="preserve">as </w:t>
      </w:r>
      <w:r w:rsidR="00F21D74" w:rsidRPr="005E30E8">
        <w:rPr>
          <w:i/>
          <w:sz w:val="28"/>
        </w:rPr>
        <w:t>“aware</w:t>
      </w:r>
      <w:r w:rsidR="001946AF" w:rsidRPr="005E30E8">
        <w:rPr>
          <w:i/>
          <w:sz w:val="28"/>
        </w:rPr>
        <w:t>ness that a circumstance exists</w:t>
      </w:r>
      <w:r w:rsidR="00A10FE5">
        <w:rPr>
          <w:i/>
          <w:sz w:val="28"/>
        </w:rPr>
        <w:t xml:space="preserve"> or a consequence will occur in the ordinary course of events</w:t>
      </w:r>
      <w:r w:rsidR="00F21D74" w:rsidRPr="005E30E8">
        <w:rPr>
          <w:i/>
          <w:sz w:val="28"/>
        </w:rPr>
        <w:t>”</w:t>
      </w:r>
      <w:r w:rsidR="001946AF">
        <w:rPr>
          <w:sz w:val="28"/>
        </w:rPr>
        <w:t xml:space="preserve"> – which most scholars interpret to mean </w:t>
      </w:r>
      <w:r w:rsidR="00DA392E">
        <w:rPr>
          <w:sz w:val="28"/>
        </w:rPr>
        <w:t xml:space="preserve">knowledge in the </w:t>
      </w:r>
      <w:r>
        <w:rPr>
          <w:sz w:val="28"/>
        </w:rPr>
        <w:t>domestic criminal-law sens</w:t>
      </w:r>
      <w:r w:rsidR="00A8053A">
        <w:rPr>
          <w:sz w:val="28"/>
        </w:rPr>
        <w:t>e, as “virtual certainty.” T</w:t>
      </w:r>
      <w:r>
        <w:rPr>
          <w:sz w:val="28"/>
        </w:rPr>
        <w:t xml:space="preserve">he </w:t>
      </w:r>
      <w:r w:rsidR="0041250F">
        <w:rPr>
          <w:sz w:val="28"/>
        </w:rPr>
        <w:t>Appeals Chamber</w:t>
      </w:r>
      <w:r>
        <w:rPr>
          <w:sz w:val="28"/>
        </w:rPr>
        <w:t xml:space="preserve"> has yet to rule on the issue, </w:t>
      </w:r>
      <w:r w:rsidR="00A8053A">
        <w:rPr>
          <w:sz w:val="28"/>
        </w:rPr>
        <w:t xml:space="preserve">however, </w:t>
      </w:r>
      <w:r>
        <w:rPr>
          <w:sz w:val="28"/>
        </w:rPr>
        <w:t>and lower Chambers have disagreed with each other:</w:t>
      </w:r>
    </w:p>
    <w:p w14:paraId="142F7F67" w14:textId="77777777" w:rsidR="00F21D74" w:rsidRDefault="00F21D74">
      <w:pPr>
        <w:rPr>
          <w:sz w:val="28"/>
        </w:rPr>
      </w:pPr>
    </w:p>
    <w:p w14:paraId="0FBB45E5" w14:textId="00A0245B" w:rsidR="003C0027" w:rsidRPr="003C0027" w:rsidRDefault="00542A4E" w:rsidP="004F4DFF">
      <w:pPr>
        <w:pStyle w:val="ListParagraph"/>
        <w:numPr>
          <w:ilvl w:val="0"/>
          <w:numId w:val="17"/>
        </w:numPr>
      </w:pPr>
      <w:r w:rsidRPr="004F4DFF">
        <w:rPr>
          <w:sz w:val="28"/>
        </w:rPr>
        <w:t>In</w:t>
      </w:r>
      <w:r w:rsidR="00A8053A">
        <w:rPr>
          <w:sz w:val="28"/>
        </w:rPr>
        <w:t xml:space="preserve"> both</w:t>
      </w:r>
      <w:r w:rsidR="003C0027" w:rsidRPr="004F4DFF">
        <w:rPr>
          <w:sz w:val="28"/>
        </w:rPr>
        <w:t xml:space="preserve"> </w:t>
      </w:r>
      <w:r w:rsidR="003C0027" w:rsidRPr="004F4DFF">
        <w:rPr>
          <w:i/>
          <w:sz w:val="28"/>
        </w:rPr>
        <w:t>Bemba</w:t>
      </w:r>
      <w:r w:rsidR="003C0027" w:rsidRPr="004F4DFF">
        <w:rPr>
          <w:sz w:val="28"/>
        </w:rPr>
        <w:t xml:space="preserve"> and</w:t>
      </w:r>
      <w:r w:rsidR="00603EE3" w:rsidRPr="004F4DFF">
        <w:rPr>
          <w:sz w:val="28"/>
        </w:rPr>
        <w:t xml:space="preserve"> </w:t>
      </w:r>
      <w:r w:rsidR="00603EE3" w:rsidRPr="004F4DFF">
        <w:rPr>
          <w:i/>
          <w:sz w:val="28"/>
        </w:rPr>
        <w:t>Ruto and others</w:t>
      </w:r>
      <w:r w:rsidRPr="004F4DFF">
        <w:rPr>
          <w:sz w:val="28"/>
        </w:rPr>
        <w:t xml:space="preserve">, PTC II specifically affirmed that knowledge </w:t>
      </w:r>
      <w:r w:rsidR="00321061">
        <w:rPr>
          <w:sz w:val="28"/>
        </w:rPr>
        <w:t>does indeed require</w:t>
      </w:r>
      <w:r w:rsidRPr="004F4DFF">
        <w:rPr>
          <w:sz w:val="28"/>
        </w:rPr>
        <w:t xml:space="preserve"> virtual certainty.</w:t>
      </w:r>
    </w:p>
    <w:p w14:paraId="6034DE5D" w14:textId="77777777" w:rsidR="003C0027" w:rsidRDefault="003C0027">
      <w:pPr>
        <w:rPr>
          <w:sz w:val="28"/>
        </w:rPr>
      </w:pPr>
    </w:p>
    <w:p w14:paraId="6514A273" w14:textId="53BD4935" w:rsidR="00E50AC2" w:rsidRPr="00A10FE5" w:rsidRDefault="00D83ABE" w:rsidP="00D83ABE">
      <w:pPr>
        <w:pStyle w:val="ListParagraph"/>
        <w:numPr>
          <w:ilvl w:val="0"/>
          <w:numId w:val="17"/>
        </w:numPr>
      </w:pPr>
      <w:r>
        <w:rPr>
          <w:sz w:val="28"/>
        </w:rPr>
        <w:t>By contrast, i</w:t>
      </w:r>
      <w:r w:rsidR="00E50AC2" w:rsidRPr="004F4DFF">
        <w:rPr>
          <w:sz w:val="28"/>
        </w:rPr>
        <w:t>n</w:t>
      </w:r>
      <w:r w:rsidR="00A8053A">
        <w:rPr>
          <w:sz w:val="28"/>
        </w:rPr>
        <w:t xml:space="preserve"> both</w:t>
      </w:r>
      <w:r w:rsidR="00E50AC2" w:rsidRPr="004F4DFF">
        <w:rPr>
          <w:sz w:val="28"/>
        </w:rPr>
        <w:t xml:space="preserve"> </w:t>
      </w:r>
      <w:r w:rsidR="00E50AC2" w:rsidRPr="004F4DFF">
        <w:rPr>
          <w:i/>
          <w:sz w:val="28"/>
        </w:rPr>
        <w:t>Lubanga</w:t>
      </w:r>
      <w:r w:rsidR="00E50AC2" w:rsidRPr="004F4DFF">
        <w:rPr>
          <w:sz w:val="28"/>
        </w:rPr>
        <w:t xml:space="preserve"> and </w:t>
      </w:r>
      <w:r w:rsidR="00E50AC2" w:rsidRPr="004F4DFF">
        <w:rPr>
          <w:i/>
          <w:sz w:val="28"/>
        </w:rPr>
        <w:t>Katanga &amp; Ngudjolo</w:t>
      </w:r>
      <w:r w:rsidR="00CB32E7" w:rsidRPr="004F4DFF">
        <w:rPr>
          <w:sz w:val="28"/>
        </w:rPr>
        <w:t xml:space="preserve">, </w:t>
      </w:r>
      <w:r w:rsidR="00542A4E" w:rsidRPr="004F4DFF">
        <w:rPr>
          <w:sz w:val="28"/>
        </w:rPr>
        <w:t xml:space="preserve">PTC I held that </w:t>
      </w:r>
      <w:r w:rsidR="004F4DFF" w:rsidRPr="00D83ABE">
        <w:rPr>
          <w:i/>
          <w:sz w:val="28"/>
        </w:rPr>
        <w:t>dolus eventualis</w:t>
      </w:r>
      <w:r w:rsidR="004F4DFF" w:rsidRPr="004F4DFF">
        <w:rPr>
          <w:sz w:val="28"/>
        </w:rPr>
        <w:t xml:space="preserve"> – common-law recklessness plus acceptance of the risk – </w:t>
      </w:r>
      <w:r w:rsidR="00A8053A">
        <w:rPr>
          <w:sz w:val="28"/>
        </w:rPr>
        <w:t>satisfies</w:t>
      </w:r>
      <w:r w:rsidR="004F4DFF" w:rsidRPr="004F4DFF">
        <w:rPr>
          <w:sz w:val="28"/>
        </w:rPr>
        <w:t xml:space="preserve"> Art. 30’s knowledge requirement.</w:t>
      </w:r>
      <w:r w:rsidR="004F4DFF">
        <w:rPr>
          <w:sz w:val="28"/>
        </w:rPr>
        <w:t xml:space="preserve">  </w:t>
      </w:r>
      <w:r w:rsidR="004F4DFF" w:rsidRPr="00D83ABE">
        <w:rPr>
          <w:sz w:val="28"/>
        </w:rPr>
        <w:t xml:space="preserve">In </w:t>
      </w:r>
      <w:r w:rsidR="004F4DFF" w:rsidRPr="00D83ABE">
        <w:rPr>
          <w:i/>
          <w:sz w:val="28"/>
        </w:rPr>
        <w:t>Lubanga</w:t>
      </w:r>
      <w:r w:rsidR="004F4DFF" w:rsidRPr="00D83ABE">
        <w:rPr>
          <w:sz w:val="28"/>
        </w:rPr>
        <w:t xml:space="preserve">, the TC seems to have </w:t>
      </w:r>
      <w:r w:rsidR="00A8053A" w:rsidRPr="00D83ABE">
        <w:rPr>
          <w:sz w:val="28"/>
        </w:rPr>
        <w:t>taken the same position</w:t>
      </w:r>
      <w:r w:rsidR="004F4DFF" w:rsidRPr="00D83ABE">
        <w:rPr>
          <w:sz w:val="28"/>
        </w:rPr>
        <w:t>.</w:t>
      </w:r>
    </w:p>
    <w:p w14:paraId="4450E2DF" w14:textId="77777777" w:rsidR="00A10FE5" w:rsidRPr="001F518E" w:rsidRDefault="00A10FE5" w:rsidP="00A10FE5"/>
    <w:p w14:paraId="2B891D29" w14:textId="4DA58D09" w:rsidR="004F4DFF" w:rsidRDefault="00EF7ED0">
      <w:pPr>
        <w:rPr>
          <w:sz w:val="28"/>
        </w:rPr>
      </w:pPr>
      <w:r w:rsidRPr="000F6B2D">
        <w:rPr>
          <w:sz w:val="28"/>
        </w:rPr>
        <w:t xml:space="preserve">If </w:t>
      </w:r>
      <w:r w:rsidR="00791C00">
        <w:rPr>
          <w:sz w:val="28"/>
        </w:rPr>
        <w:t xml:space="preserve">the </w:t>
      </w:r>
      <w:r w:rsidR="0041250F">
        <w:rPr>
          <w:sz w:val="28"/>
        </w:rPr>
        <w:t>Appeals Chamber</w:t>
      </w:r>
      <w:r w:rsidR="00791C00">
        <w:rPr>
          <w:sz w:val="28"/>
        </w:rPr>
        <w:t xml:space="preserve"> ultimately </w:t>
      </w:r>
      <w:r w:rsidR="00CA1DBA">
        <w:rPr>
          <w:sz w:val="28"/>
        </w:rPr>
        <w:t>adopts</w:t>
      </w:r>
      <w:r w:rsidR="00791C00">
        <w:rPr>
          <w:sz w:val="28"/>
        </w:rPr>
        <w:t xml:space="preserve"> </w:t>
      </w:r>
      <w:r w:rsidRPr="00D83ABE">
        <w:rPr>
          <w:i/>
          <w:sz w:val="28"/>
        </w:rPr>
        <w:t>dolus eventualis</w:t>
      </w:r>
      <w:r w:rsidRPr="000F6B2D">
        <w:rPr>
          <w:sz w:val="28"/>
        </w:rPr>
        <w:t xml:space="preserve"> </w:t>
      </w:r>
      <w:r w:rsidR="00CA1DBA">
        <w:rPr>
          <w:sz w:val="28"/>
        </w:rPr>
        <w:t xml:space="preserve">in the context of </w:t>
      </w:r>
      <w:r w:rsidR="00A8053A">
        <w:rPr>
          <w:sz w:val="28"/>
        </w:rPr>
        <w:t xml:space="preserve">contributions to group crimes, </w:t>
      </w:r>
      <w:r w:rsidR="00CA1DBA">
        <w:rPr>
          <w:sz w:val="28"/>
        </w:rPr>
        <w:t xml:space="preserve">the SDR will be normatively necessary for all </w:t>
      </w:r>
      <w:r w:rsidR="007C1C7A">
        <w:rPr>
          <w:sz w:val="28"/>
        </w:rPr>
        <w:t xml:space="preserve">of </w:t>
      </w:r>
      <w:r w:rsidR="00CA1DBA">
        <w:rPr>
          <w:sz w:val="28"/>
        </w:rPr>
        <w:t>the reasons</w:t>
      </w:r>
      <w:r w:rsidR="00D83ABE">
        <w:rPr>
          <w:sz w:val="28"/>
        </w:rPr>
        <w:t xml:space="preserve"> I discussed </w:t>
      </w:r>
      <w:r w:rsidR="007C1C7A">
        <w:rPr>
          <w:sz w:val="28"/>
        </w:rPr>
        <w:t>earlier</w:t>
      </w:r>
      <w:r w:rsidR="00CA1DBA">
        <w:rPr>
          <w:sz w:val="28"/>
        </w:rPr>
        <w:t>.</w:t>
      </w:r>
    </w:p>
    <w:p w14:paraId="6AC3A949" w14:textId="77777777" w:rsidR="00791C00" w:rsidRDefault="00791C00">
      <w:pPr>
        <w:rPr>
          <w:sz w:val="28"/>
        </w:rPr>
      </w:pPr>
    </w:p>
    <w:p w14:paraId="4625CA9C" w14:textId="23BF8D1A" w:rsidR="00481CE6" w:rsidRPr="000F6B2D" w:rsidRDefault="00CA1DBA">
      <w:pPr>
        <w:rPr>
          <w:sz w:val="28"/>
        </w:rPr>
      </w:pPr>
      <w:r>
        <w:rPr>
          <w:sz w:val="28"/>
        </w:rPr>
        <w:t>Interestingly – and I will end with this –</w:t>
      </w:r>
      <w:r w:rsidR="0075034D">
        <w:rPr>
          <w:sz w:val="28"/>
        </w:rPr>
        <w:t xml:space="preserve"> at least one judge at t</w:t>
      </w:r>
      <w:r w:rsidR="00D83ABE">
        <w:rPr>
          <w:sz w:val="28"/>
        </w:rPr>
        <w:t xml:space="preserve">he ICC seems to be aware of </w:t>
      </w:r>
      <w:r w:rsidR="0075034D">
        <w:rPr>
          <w:sz w:val="28"/>
        </w:rPr>
        <w:t>the SDR</w:t>
      </w:r>
      <w:r w:rsidR="00D83ABE">
        <w:rPr>
          <w:sz w:val="28"/>
        </w:rPr>
        <w:t>’s desirability</w:t>
      </w:r>
      <w:r w:rsidR="0075034D">
        <w:rPr>
          <w:sz w:val="28"/>
        </w:rPr>
        <w:t xml:space="preserve">. Here is what Judge Gurmendi said in her Separate Opinion in </w:t>
      </w:r>
      <w:r w:rsidR="00481CE6" w:rsidRPr="000F36CB">
        <w:rPr>
          <w:i/>
          <w:sz w:val="28"/>
        </w:rPr>
        <w:t>Mbarushim</w:t>
      </w:r>
      <w:r w:rsidR="00603EE3" w:rsidRPr="000F36CB">
        <w:rPr>
          <w:i/>
          <w:sz w:val="28"/>
        </w:rPr>
        <w:t>ana</w:t>
      </w:r>
      <w:r w:rsidR="0075034D">
        <w:rPr>
          <w:sz w:val="28"/>
        </w:rPr>
        <w:t xml:space="preserve"> with regard to the provision of neutral assistance</w:t>
      </w:r>
      <w:r w:rsidR="00D83ABE">
        <w:rPr>
          <w:sz w:val="28"/>
        </w:rPr>
        <w:t xml:space="preserve"> to group crimes</w:t>
      </w:r>
      <w:r w:rsidR="0075034D">
        <w:rPr>
          <w:sz w:val="28"/>
        </w:rPr>
        <w:t>:</w:t>
      </w:r>
    </w:p>
    <w:p w14:paraId="55ECA210" w14:textId="77777777" w:rsidR="0080630C" w:rsidRDefault="0080630C">
      <w:pPr>
        <w:rPr>
          <w:sz w:val="28"/>
        </w:rPr>
      </w:pPr>
    </w:p>
    <w:p w14:paraId="67365D7F" w14:textId="1A9F64C4" w:rsidR="003223B4" w:rsidRPr="00CA6182" w:rsidRDefault="00CA6182" w:rsidP="0075034D">
      <w:pPr>
        <w:ind w:left="567" w:right="645"/>
      </w:pPr>
      <w:r w:rsidRPr="00CA6182">
        <w:t>I am not persuaded that such contributions would be adequately addressed by adding the requirement that a contribution be significant. Depending on the circumstances of a case, providing food or utilities to an armed group might be a significant, a substantial or even an essential contribution to the commission of crimes by this group. In my view the real issue is that of the so-called "neutral" contributions. This problem is better addressed by analysing the normative and causal links between the contribution and the crime rather than requiring a minimum level of contribution.</w:t>
      </w:r>
    </w:p>
    <w:p w14:paraId="29B3F57F" w14:textId="77777777" w:rsidR="00CA6182" w:rsidRDefault="00CA6182">
      <w:pPr>
        <w:rPr>
          <w:sz w:val="28"/>
        </w:rPr>
      </w:pPr>
    </w:p>
    <w:p w14:paraId="4BF2B07C" w14:textId="77777777" w:rsidR="0075034D" w:rsidRDefault="0075034D">
      <w:pPr>
        <w:rPr>
          <w:sz w:val="28"/>
        </w:rPr>
      </w:pPr>
      <w:r>
        <w:rPr>
          <w:sz w:val="28"/>
        </w:rPr>
        <w:t>By “normative and causal links,” I would suggest that Judge Gurmendi meant something closely akin to the SDR.</w:t>
      </w:r>
    </w:p>
    <w:p w14:paraId="760904F0" w14:textId="38695BBD" w:rsidR="0075034D" w:rsidRDefault="0075034D">
      <w:pPr>
        <w:rPr>
          <w:sz w:val="28"/>
        </w:rPr>
      </w:pPr>
      <w:r>
        <w:rPr>
          <w:sz w:val="28"/>
        </w:rPr>
        <w:t xml:space="preserve"> </w:t>
      </w:r>
    </w:p>
    <w:p w14:paraId="3D85AC4A" w14:textId="49BD35ED" w:rsidR="0080630C" w:rsidRPr="000F6B2D" w:rsidRDefault="00603EE3">
      <w:pPr>
        <w:rPr>
          <w:sz w:val="28"/>
        </w:rPr>
      </w:pPr>
      <w:r>
        <w:rPr>
          <w:sz w:val="28"/>
        </w:rPr>
        <w:t>But</w:t>
      </w:r>
      <w:r w:rsidR="00F11304">
        <w:rPr>
          <w:sz w:val="28"/>
        </w:rPr>
        <w:t xml:space="preserve"> then again, </w:t>
      </w:r>
      <w:r w:rsidR="003223B4">
        <w:rPr>
          <w:sz w:val="28"/>
        </w:rPr>
        <w:t>we should probably not put too much stock in what Ju</w:t>
      </w:r>
      <w:r w:rsidR="00CA6182">
        <w:rPr>
          <w:sz w:val="28"/>
        </w:rPr>
        <w:t>d</w:t>
      </w:r>
      <w:r w:rsidR="003223B4">
        <w:rPr>
          <w:sz w:val="28"/>
        </w:rPr>
        <w:t>ge Gurmendi has to say.</w:t>
      </w:r>
      <w:r>
        <w:rPr>
          <w:sz w:val="28"/>
        </w:rPr>
        <w:t xml:space="preserve"> </w:t>
      </w:r>
      <w:r w:rsidR="003223B4">
        <w:rPr>
          <w:sz w:val="28"/>
        </w:rPr>
        <w:t xml:space="preserve">President </w:t>
      </w:r>
      <w:r>
        <w:rPr>
          <w:sz w:val="28"/>
        </w:rPr>
        <w:t xml:space="preserve">Meron </w:t>
      </w:r>
      <w:r w:rsidR="003223B4">
        <w:rPr>
          <w:sz w:val="28"/>
        </w:rPr>
        <w:t>no doubt</w:t>
      </w:r>
      <w:r>
        <w:rPr>
          <w:sz w:val="28"/>
        </w:rPr>
        <w:t xml:space="preserve"> got to her, too.</w:t>
      </w:r>
    </w:p>
    <w:p w14:paraId="511D55E1" w14:textId="77777777" w:rsidR="0080630C" w:rsidRPr="000F6B2D" w:rsidRDefault="0080630C">
      <w:pPr>
        <w:rPr>
          <w:sz w:val="28"/>
        </w:rPr>
      </w:pPr>
    </w:p>
    <w:p w14:paraId="6D7483CF" w14:textId="77777777" w:rsidR="0080630C" w:rsidRPr="000F6B2D" w:rsidRDefault="0080630C">
      <w:pPr>
        <w:rPr>
          <w:sz w:val="28"/>
        </w:rPr>
      </w:pPr>
    </w:p>
    <w:p w14:paraId="68D3A603" w14:textId="77777777" w:rsidR="00A878F0" w:rsidRPr="000F6B2D" w:rsidRDefault="00A878F0" w:rsidP="00A878F0">
      <w:pPr>
        <w:widowControl w:val="0"/>
        <w:autoSpaceDE w:val="0"/>
        <w:autoSpaceDN w:val="0"/>
        <w:adjustRightInd w:val="0"/>
        <w:spacing w:after="240"/>
        <w:rPr>
          <w:rFonts w:ascii="Times" w:hAnsi="Times" w:cs="Times"/>
          <w:sz w:val="28"/>
        </w:rPr>
      </w:pPr>
    </w:p>
    <w:p w14:paraId="045C265E" w14:textId="77777777" w:rsidR="00A878F0" w:rsidRPr="000F6B2D" w:rsidRDefault="00A878F0" w:rsidP="00A878F0">
      <w:pPr>
        <w:widowControl w:val="0"/>
        <w:autoSpaceDE w:val="0"/>
        <w:autoSpaceDN w:val="0"/>
        <w:adjustRightInd w:val="0"/>
        <w:spacing w:after="240"/>
        <w:rPr>
          <w:rFonts w:ascii="Times" w:hAnsi="Times" w:cs="Times"/>
          <w:sz w:val="28"/>
        </w:rPr>
      </w:pPr>
    </w:p>
    <w:p w14:paraId="1FD6F578" w14:textId="1493B192" w:rsidR="00A878F0" w:rsidRPr="000F6B2D" w:rsidRDefault="00A878F0" w:rsidP="00A878F0">
      <w:pPr>
        <w:widowControl w:val="0"/>
        <w:autoSpaceDE w:val="0"/>
        <w:autoSpaceDN w:val="0"/>
        <w:adjustRightInd w:val="0"/>
        <w:spacing w:after="240"/>
        <w:rPr>
          <w:rFonts w:ascii="Times" w:hAnsi="Times" w:cs="Times"/>
          <w:sz w:val="28"/>
        </w:rPr>
      </w:pPr>
    </w:p>
    <w:p w14:paraId="5FF25732" w14:textId="77777777" w:rsidR="00A878F0" w:rsidRPr="000F6B2D" w:rsidRDefault="00A878F0">
      <w:pPr>
        <w:rPr>
          <w:b/>
          <w:sz w:val="28"/>
        </w:rPr>
      </w:pPr>
    </w:p>
    <w:p w14:paraId="3288E9EE" w14:textId="77777777" w:rsidR="00AF4ED0" w:rsidRPr="000F6B2D" w:rsidRDefault="00AF4ED0">
      <w:pPr>
        <w:rPr>
          <w:sz w:val="28"/>
        </w:rPr>
      </w:pPr>
    </w:p>
    <w:sectPr w:rsidR="00AF4ED0" w:rsidRPr="000F6B2D" w:rsidSect="003D34E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86864" w14:textId="77777777" w:rsidR="00001582" w:rsidRDefault="00001582" w:rsidP="00CA50D5">
      <w:r>
        <w:separator/>
      </w:r>
    </w:p>
  </w:endnote>
  <w:endnote w:type="continuationSeparator" w:id="0">
    <w:p w14:paraId="2167E9E9" w14:textId="77777777" w:rsidR="00001582" w:rsidRDefault="00001582" w:rsidP="00CA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3FE0D" w14:textId="77777777" w:rsidR="00001582" w:rsidRDefault="00001582" w:rsidP="004011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D5E36" w14:textId="77777777" w:rsidR="00001582" w:rsidRDefault="000015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C417" w14:textId="7B6C6D64" w:rsidR="00001582" w:rsidRDefault="00001582" w:rsidP="0040111C">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FA064B">
      <w:rPr>
        <w:rStyle w:val="PageNumber"/>
        <w:noProof/>
      </w:rPr>
      <w:t>1</w:t>
    </w:r>
    <w:r>
      <w:rPr>
        <w:rStyle w:val="PageNumber"/>
      </w:rPr>
      <w:fldChar w:fldCharType="end"/>
    </w:r>
    <w:r>
      <w:rPr>
        <w:rStyle w:val="PageNumber"/>
      </w:rPr>
      <w:t>]</w:t>
    </w:r>
  </w:p>
  <w:p w14:paraId="25A91FE1" w14:textId="77777777" w:rsidR="00001582" w:rsidRDefault="000015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9EC2C" w14:textId="77777777" w:rsidR="00001582" w:rsidRDefault="00001582" w:rsidP="00CA50D5">
      <w:r>
        <w:separator/>
      </w:r>
    </w:p>
  </w:footnote>
  <w:footnote w:type="continuationSeparator" w:id="0">
    <w:p w14:paraId="69B0AD45" w14:textId="77777777" w:rsidR="00001582" w:rsidRDefault="00001582" w:rsidP="00CA50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A55"/>
    <w:multiLevelType w:val="hybridMultilevel"/>
    <w:tmpl w:val="1986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F7222"/>
    <w:multiLevelType w:val="hybridMultilevel"/>
    <w:tmpl w:val="9092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10AC6"/>
    <w:multiLevelType w:val="hybridMultilevel"/>
    <w:tmpl w:val="F0CA0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42197"/>
    <w:multiLevelType w:val="hybridMultilevel"/>
    <w:tmpl w:val="18EE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B7A1A"/>
    <w:multiLevelType w:val="hybridMultilevel"/>
    <w:tmpl w:val="0CBE29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9F7B54"/>
    <w:multiLevelType w:val="hybridMultilevel"/>
    <w:tmpl w:val="325AF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3756D"/>
    <w:multiLevelType w:val="hybridMultilevel"/>
    <w:tmpl w:val="DB6C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4488A"/>
    <w:multiLevelType w:val="hybridMultilevel"/>
    <w:tmpl w:val="4898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C6706"/>
    <w:multiLevelType w:val="hybridMultilevel"/>
    <w:tmpl w:val="38DE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3F3395"/>
    <w:multiLevelType w:val="hybridMultilevel"/>
    <w:tmpl w:val="2BC21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1A4332"/>
    <w:multiLevelType w:val="hybridMultilevel"/>
    <w:tmpl w:val="2ADED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A5F2E"/>
    <w:multiLevelType w:val="hybridMultilevel"/>
    <w:tmpl w:val="84CC131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60584FC1"/>
    <w:multiLevelType w:val="hybridMultilevel"/>
    <w:tmpl w:val="AC20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443880"/>
    <w:multiLevelType w:val="hybridMultilevel"/>
    <w:tmpl w:val="A35203D8"/>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6C9313CC"/>
    <w:multiLevelType w:val="hybridMultilevel"/>
    <w:tmpl w:val="38CEA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617DF4"/>
    <w:multiLevelType w:val="hybridMultilevel"/>
    <w:tmpl w:val="C326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843BF"/>
    <w:multiLevelType w:val="hybridMultilevel"/>
    <w:tmpl w:val="856E5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16"/>
  </w:num>
  <w:num w:numId="5">
    <w:abstractNumId w:val="10"/>
  </w:num>
  <w:num w:numId="6">
    <w:abstractNumId w:val="15"/>
  </w:num>
  <w:num w:numId="7">
    <w:abstractNumId w:val="14"/>
  </w:num>
  <w:num w:numId="8">
    <w:abstractNumId w:val="3"/>
  </w:num>
  <w:num w:numId="9">
    <w:abstractNumId w:val="8"/>
  </w:num>
  <w:num w:numId="10">
    <w:abstractNumId w:val="0"/>
  </w:num>
  <w:num w:numId="11">
    <w:abstractNumId w:val="12"/>
  </w:num>
  <w:num w:numId="12">
    <w:abstractNumId w:val="6"/>
  </w:num>
  <w:num w:numId="13">
    <w:abstractNumId w:val="11"/>
  </w:num>
  <w:num w:numId="14">
    <w:abstractNumId w:val="13"/>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45"/>
    <w:rsid w:val="00001582"/>
    <w:rsid w:val="00031F25"/>
    <w:rsid w:val="000402B6"/>
    <w:rsid w:val="000525BE"/>
    <w:rsid w:val="00062CF6"/>
    <w:rsid w:val="00067CFB"/>
    <w:rsid w:val="000723FA"/>
    <w:rsid w:val="00081DE0"/>
    <w:rsid w:val="00085885"/>
    <w:rsid w:val="000913F4"/>
    <w:rsid w:val="000A42EF"/>
    <w:rsid w:val="000A5DD7"/>
    <w:rsid w:val="000B0C85"/>
    <w:rsid w:val="000B0FC6"/>
    <w:rsid w:val="000B2327"/>
    <w:rsid w:val="000C2051"/>
    <w:rsid w:val="000E212D"/>
    <w:rsid w:val="000F36CB"/>
    <w:rsid w:val="000F6B2D"/>
    <w:rsid w:val="00100AEF"/>
    <w:rsid w:val="00126CBA"/>
    <w:rsid w:val="00141554"/>
    <w:rsid w:val="00143DF7"/>
    <w:rsid w:val="0015228F"/>
    <w:rsid w:val="00155E09"/>
    <w:rsid w:val="001644FA"/>
    <w:rsid w:val="00165730"/>
    <w:rsid w:val="00177AF3"/>
    <w:rsid w:val="00182C49"/>
    <w:rsid w:val="00184E12"/>
    <w:rsid w:val="00192FA2"/>
    <w:rsid w:val="001946AF"/>
    <w:rsid w:val="001D4F26"/>
    <w:rsid w:val="001D5602"/>
    <w:rsid w:val="001E17B8"/>
    <w:rsid w:val="001E1DD0"/>
    <w:rsid w:val="001E575B"/>
    <w:rsid w:val="001F518E"/>
    <w:rsid w:val="002006A4"/>
    <w:rsid w:val="00200E02"/>
    <w:rsid w:val="00213AD5"/>
    <w:rsid w:val="00215A5F"/>
    <w:rsid w:val="00230AB0"/>
    <w:rsid w:val="00236314"/>
    <w:rsid w:val="00243801"/>
    <w:rsid w:val="00275482"/>
    <w:rsid w:val="0028352F"/>
    <w:rsid w:val="00291397"/>
    <w:rsid w:val="002971C5"/>
    <w:rsid w:val="002C1F97"/>
    <w:rsid w:val="002E7F5D"/>
    <w:rsid w:val="00303547"/>
    <w:rsid w:val="003043E7"/>
    <w:rsid w:val="003074A6"/>
    <w:rsid w:val="00310C52"/>
    <w:rsid w:val="00321061"/>
    <w:rsid w:val="003223B4"/>
    <w:rsid w:val="00322BB9"/>
    <w:rsid w:val="00334921"/>
    <w:rsid w:val="003409F6"/>
    <w:rsid w:val="00345B4C"/>
    <w:rsid w:val="00350391"/>
    <w:rsid w:val="00350ED0"/>
    <w:rsid w:val="00356E9A"/>
    <w:rsid w:val="00360358"/>
    <w:rsid w:val="00361768"/>
    <w:rsid w:val="00361DF7"/>
    <w:rsid w:val="00377049"/>
    <w:rsid w:val="003B1E4F"/>
    <w:rsid w:val="003C0027"/>
    <w:rsid w:val="003C1ED5"/>
    <w:rsid w:val="003D34EA"/>
    <w:rsid w:val="003D381E"/>
    <w:rsid w:val="0040111C"/>
    <w:rsid w:val="0040582C"/>
    <w:rsid w:val="0041250F"/>
    <w:rsid w:val="00413E3A"/>
    <w:rsid w:val="00416FFD"/>
    <w:rsid w:val="00423BC7"/>
    <w:rsid w:val="00425D4B"/>
    <w:rsid w:val="004367BE"/>
    <w:rsid w:val="004520CE"/>
    <w:rsid w:val="00452324"/>
    <w:rsid w:val="0045718C"/>
    <w:rsid w:val="004657C5"/>
    <w:rsid w:val="00481CE6"/>
    <w:rsid w:val="00497AB9"/>
    <w:rsid w:val="004B379D"/>
    <w:rsid w:val="004C61DD"/>
    <w:rsid w:val="004C7766"/>
    <w:rsid w:val="004F4DFF"/>
    <w:rsid w:val="00524D24"/>
    <w:rsid w:val="00524E3D"/>
    <w:rsid w:val="005368C4"/>
    <w:rsid w:val="00542A4E"/>
    <w:rsid w:val="0055260D"/>
    <w:rsid w:val="005557B3"/>
    <w:rsid w:val="005A3BD1"/>
    <w:rsid w:val="005D595B"/>
    <w:rsid w:val="005E07CA"/>
    <w:rsid w:val="005E1300"/>
    <w:rsid w:val="005E30E8"/>
    <w:rsid w:val="005E51AE"/>
    <w:rsid w:val="005E5E70"/>
    <w:rsid w:val="00603EE3"/>
    <w:rsid w:val="00614D34"/>
    <w:rsid w:val="00615119"/>
    <w:rsid w:val="00616368"/>
    <w:rsid w:val="00634666"/>
    <w:rsid w:val="00667F98"/>
    <w:rsid w:val="006A1A2A"/>
    <w:rsid w:val="006B4E0B"/>
    <w:rsid w:val="006B6682"/>
    <w:rsid w:val="006D33FF"/>
    <w:rsid w:val="006E267C"/>
    <w:rsid w:val="006F03EC"/>
    <w:rsid w:val="006F0601"/>
    <w:rsid w:val="006F6D53"/>
    <w:rsid w:val="00705159"/>
    <w:rsid w:val="0071148D"/>
    <w:rsid w:val="0072023D"/>
    <w:rsid w:val="00722425"/>
    <w:rsid w:val="007370EB"/>
    <w:rsid w:val="00742AA7"/>
    <w:rsid w:val="00744BF8"/>
    <w:rsid w:val="00745013"/>
    <w:rsid w:val="0075034D"/>
    <w:rsid w:val="00753937"/>
    <w:rsid w:val="007757E8"/>
    <w:rsid w:val="00782656"/>
    <w:rsid w:val="00791C00"/>
    <w:rsid w:val="007C1C7A"/>
    <w:rsid w:val="007C6584"/>
    <w:rsid w:val="00803867"/>
    <w:rsid w:val="0080630C"/>
    <w:rsid w:val="008065D9"/>
    <w:rsid w:val="00836C86"/>
    <w:rsid w:val="00863457"/>
    <w:rsid w:val="008675B8"/>
    <w:rsid w:val="008753EB"/>
    <w:rsid w:val="008A3E9E"/>
    <w:rsid w:val="008B5AB7"/>
    <w:rsid w:val="0092373F"/>
    <w:rsid w:val="00941B50"/>
    <w:rsid w:val="00946671"/>
    <w:rsid w:val="00963649"/>
    <w:rsid w:val="00993B67"/>
    <w:rsid w:val="00996357"/>
    <w:rsid w:val="009B0EE5"/>
    <w:rsid w:val="009B69B5"/>
    <w:rsid w:val="009F6C05"/>
    <w:rsid w:val="00A10FE5"/>
    <w:rsid w:val="00A16901"/>
    <w:rsid w:val="00A2135B"/>
    <w:rsid w:val="00A51EBF"/>
    <w:rsid w:val="00A669BC"/>
    <w:rsid w:val="00A8053A"/>
    <w:rsid w:val="00A870D1"/>
    <w:rsid w:val="00A878F0"/>
    <w:rsid w:val="00A90943"/>
    <w:rsid w:val="00AA04C0"/>
    <w:rsid w:val="00AA224D"/>
    <w:rsid w:val="00AB0A2A"/>
    <w:rsid w:val="00AB11DC"/>
    <w:rsid w:val="00AB6A6D"/>
    <w:rsid w:val="00AB734E"/>
    <w:rsid w:val="00AC129A"/>
    <w:rsid w:val="00AE12DA"/>
    <w:rsid w:val="00AF454B"/>
    <w:rsid w:val="00AF4ED0"/>
    <w:rsid w:val="00B12579"/>
    <w:rsid w:val="00B13822"/>
    <w:rsid w:val="00B30F1A"/>
    <w:rsid w:val="00B3412F"/>
    <w:rsid w:val="00B51EF4"/>
    <w:rsid w:val="00B92175"/>
    <w:rsid w:val="00BA19DF"/>
    <w:rsid w:val="00BB1697"/>
    <w:rsid w:val="00BC35DE"/>
    <w:rsid w:val="00C03A3A"/>
    <w:rsid w:val="00C05BEF"/>
    <w:rsid w:val="00C0738F"/>
    <w:rsid w:val="00C252F1"/>
    <w:rsid w:val="00C316AC"/>
    <w:rsid w:val="00C366C6"/>
    <w:rsid w:val="00C4432A"/>
    <w:rsid w:val="00C801D4"/>
    <w:rsid w:val="00CA0B86"/>
    <w:rsid w:val="00CA1DBA"/>
    <w:rsid w:val="00CA50D5"/>
    <w:rsid w:val="00CA6182"/>
    <w:rsid w:val="00CB32E7"/>
    <w:rsid w:val="00CC2906"/>
    <w:rsid w:val="00CC2B6F"/>
    <w:rsid w:val="00CD2E65"/>
    <w:rsid w:val="00D17559"/>
    <w:rsid w:val="00D221BE"/>
    <w:rsid w:val="00D468C7"/>
    <w:rsid w:val="00D46DF7"/>
    <w:rsid w:val="00D51492"/>
    <w:rsid w:val="00D83ABE"/>
    <w:rsid w:val="00D923AD"/>
    <w:rsid w:val="00D9324A"/>
    <w:rsid w:val="00DA1CFF"/>
    <w:rsid w:val="00DA392E"/>
    <w:rsid w:val="00DA672F"/>
    <w:rsid w:val="00DD56D3"/>
    <w:rsid w:val="00DF128B"/>
    <w:rsid w:val="00DF5F14"/>
    <w:rsid w:val="00E0294B"/>
    <w:rsid w:val="00E16EDE"/>
    <w:rsid w:val="00E20EAE"/>
    <w:rsid w:val="00E269E7"/>
    <w:rsid w:val="00E45A37"/>
    <w:rsid w:val="00E50AC2"/>
    <w:rsid w:val="00E7383A"/>
    <w:rsid w:val="00E74545"/>
    <w:rsid w:val="00E779CE"/>
    <w:rsid w:val="00E8263D"/>
    <w:rsid w:val="00E9258B"/>
    <w:rsid w:val="00E95316"/>
    <w:rsid w:val="00EA09A5"/>
    <w:rsid w:val="00EA1B9E"/>
    <w:rsid w:val="00EA1F72"/>
    <w:rsid w:val="00EE29DD"/>
    <w:rsid w:val="00EF7ED0"/>
    <w:rsid w:val="00F11304"/>
    <w:rsid w:val="00F21D74"/>
    <w:rsid w:val="00F232EA"/>
    <w:rsid w:val="00F460A1"/>
    <w:rsid w:val="00F470FB"/>
    <w:rsid w:val="00F47F51"/>
    <w:rsid w:val="00F515DF"/>
    <w:rsid w:val="00F6527D"/>
    <w:rsid w:val="00FA064B"/>
    <w:rsid w:val="00FC593A"/>
    <w:rsid w:val="00FD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0E4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57"/>
    <w:pPr>
      <w:ind w:left="720"/>
      <w:contextualSpacing/>
    </w:pPr>
  </w:style>
  <w:style w:type="character" w:customStyle="1" w:styleId="apple-converted-space">
    <w:name w:val="apple-converted-space"/>
    <w:basedOn w:val="DefaultParagraphFont"/>
    <w:rsid w:val="00182C49"/>
  </w:style>
  <w:style w:type="character" w:styleId="Emphasis">
    <w:name w:val="Emphasis"/>
    <w:basedOn w:val="DefaultParagraphFont"/>
    <w:uiPriority w:val="20"/>
    <w:qFormat/>
    <w:rsid w:val="00182C49"/>
    <w:rPr>
      <w:i/>
      <w:iCs/>
    </w:rPr>
  </w:style>
  <w:style w:type="paragraph" w:styleId="Header">
    <w:name w:val="header"/>
    <w:basedOn w:val="Normal"/>
    <w:link w:val="HeaderChar"/>
    <w:uiPriority w:val="99"/>
    <w:unhideWhenUsed/>
    <w:rsid w:val="00CA50D5"/>
    <w:pPr>
      <w:tabs>
        <w:tab w:val="center" w:pos="4320"/>
        <w:tab w:val="right" w:pos="8640"/>
      </w:tabs>
    </w:pPr>
  </w:style>
  <w:style w:type="character" w:customStyle="1" w:styleId="HeaderChar">
    <w:name w:val="Header Char"/>
    <w:basedOn w:val="DefaultParagraphFont"/>
    <w:link w:val="Header"/>
    <w:uiPriority w:val="99"/>
    <w:rsid w:val="00CA50D5"/>
  </w:style>
  <w:style w:type="paragraph" w:styleId="Footer">
    <w:name w:val="footer"/>
    <w:basedOn w:val="Normal"/>
    <w:link w:val="FooterChar"/>
    <w:uiPriority w:val="99"/>
    <w:unhideWhenUsed/>
    <w:rsid w:val="00CA50D5"/>
    <w:pPr>
      <w:tabs>
        <w:tab w:val="center" w:pos="4320"/>
        <w:tab w:val="right" w:pos="8640"/>
      </w:tabs>
    </w:pPr>
  </w:style>
  <w:style w:type="character" w:customStyle="1" w:styleId="FooterChar">
    <w:name w:val="Footer Char"/>
    <w:basedOn w:val="DefaultParagraphFont"/>
    <w:link w:val="Footer"/>
    <w:uiPriority w:val="99"/>
    <w:rsid w:val="00CA50D5"/>
  </w:style>
  <w:style w:type="paragraph" w:styleId="NormalWeb">
    <w:name w:val="Normal (Web)"/>
    <w:basedOn w:val="Normal"/>
    <w:uiPriority w:val="99"/>
    <w:semiHidden/>
    <w:unhideWhenUsed/>
    <w:rsid w:val="004367BE"/>
    <w:pPr>
      <w:spacing w:before="100" w:beforeAutospacing="1" w:after="100" w:afterAutospacing="1"/>
    </w:pPr>
    <w:rPr>
      <w:rFonts w:ascii="Times" w:hAnsi="Times" w:cs="Times New Roman"/>
      <w:sz w:val="20"/>
      <w:szCs w:val="20"/>
      <w:lang w:val="en-AU"/>
    </w:rPr>
  </w:style>
  <w:style w:type="character" w:styleId="PageNumber">
    <w:name w:val="page number"/>
    <w:basedOn w:val="DefaultParagraphFont"/>
    <w:uiPriority w:val="99"/>
    <w:semiHidden/>
    <w:unhideWhenUsed/>
    <w:rsid w:val="00D468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457"/>
    <w:pPr>
      <w:ind w:left="720"/>
      <w:contextualSpacing/>
    </w:pPr>
  </w:style>
  <w:style w:type="character" w:customStyle="1" w:styleId="apple-converted-space">
    <w:name w:val="apple-converted-space"/>
    <w:basedOn w:val="DefaultParagraphFont"/>
    <w:rsid w:val="00182C49"/>
  </w:style>
  <w:style w:type="character" w:styleId="Emphasis">
    <w:name w:val="Emphasis"/>
    <w:basedOn w:val="DefaultParagraphFont"/>
    <w:uiPriority w:val="20"/>
    <w:qFormat/>
    <w:rsid w:val="00182C49"/>
    <w:rPr>
      <w:i/>
      <w:iCs/>
    </w:rPr>
  </w:style>
  <w:style w:type="paragraph" w:styleId="Header">
    <w:name w:val="header"/>
    <w:basedOn w:val="Normal"/>
    <w:link w:val="HeaderChar"/>
    <w:uiPriority w:val="99"/>
    <w:unhideWhenUsed/>
    <w:rsid w:val="00CA50D5"/>
    <w:pPr>
      <w:tabs>
        <w:tab w:val="center" w:pos="4320"/>
        <w:tab w:val="right" w:pos="8640"/>
      </w:tabs>
    </w:pPr>
  </w:style>
  <w:style w:type="character" w:customStyle="1" w:styleId="HeaderChar">
    <w:name w:val="Header Char"/>
    <w:basedOn w:val="DefaultParagraphFont"/>
    <w:link w:val="Header"/>
    <w:uiPriority w:val="99"/>
    <w:rsid w:val="00CA50D5"/>
  </w:style>
  <w:style w:type="paragraph" w:styleId="Footer">
    <w:name w:val="footer"/>
    <w:basedOn w:val="Normal"/>
    <w:link w:val="FooterChar"/>
    <w:uiPriority w:val="99"/>
    <w:unhideWhenUsed/>
    <w:rsid w:val="00CA50D5"/>
    <w:pPr>
      <w:tabs>
        <w:tab w:val="center" w:pos="4320"/>
        <w:tab w:val="right" w:pos="8640"/>
      </w:tabs>
    </w:pPr>
  </w:style>
  <w:style w:type="character" w:customStyle="1" w:styleId="FooterChar">
    <w:name w:val="Footer Char"/>
    <w:basedOn w:val="DefaultParagraphFont"/>
    <w:link w:val="Footer"/>
    <w:uiPriority w:val="99"/>
    <w:rsid w:val="00CA50D5"/>
  </w:style>
  <w:style w:type="paragraph" w:styleId="NormalWeb">
    <w:name w:val="Normal (Web)"/>
    <w:basedOn w:val="Normal"/>
    <w:uiPriority w:val="99"/>
    <w:semiHidden/>
    <w:unhideWhenUsed/>
    <w:rsid w:val="004367BE"/>
    <w:pPr>
      <w:spacing w:before="100" w:beforeAutospacing="1" w:after="100" w:afterAutospacing="1"/>
    </w:pPr>
    <w:rPr>
      <w:rFonts w:ascii="Times" w:hAnsi="Times" w:cs="Times New Roman"/>
      <w:sz w:val="20"/>
      <w:szCs w:val="20"/>
      <w:lang w:val="en-AU"/>
    </w:rPr>
  </w:style>
  <w:style w:type="character" w:styleId="PageNumber">
    <w:name w:val="page number"/>
    <w:basedOn w:val="DefaultParagraphFont"/>
    <w:uiPriority w:val="99"/>
    <w:semiHidden/>
    <w:unhideWhenUsed/>
    <w:rsid w:val="00D4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487">
      <w:bodyDiv w:val="1"/>
      <w:marLeft w:val="0"/>
      <w:marRight w:val="0"/>
      <w:marTop w:val="0"/>
      <w:marBottom w:val="0"/>
      <w:divBdr>
        <w:top w:val="none" w:sz="0" w:space="0" w:color="auto"/>
        <w:left w:val="none" w:sz="0" w:space="0" w:color="auto"/>
        <w:bottom w:val="none" w:sz="0" w:space="0" w:color="auto"/>
        <w:right w:val="none" w:sz="0" w:space="0" w:color="auto"/>
      </w:divBdr>
    </w:div>
    <w:div w:id="763382974">
      <w:bodyDiv w:val="1"/>
      <w:marLeft w:val="0"/>
      <w:marRight w:val="0"/>
      <w:marTop w:val="0"/>
      <w:marBottom w:val="0"/>
      <w:divBdr>
        <w:top w:val="none" w:sz="0" w:space="0" w:color="auto"/>
        <w:left w:val="none" w:sz="0" w:space="0" w:color="auto"/>
        <w:bottom w:val="none" w:sz="0" w:space="0" w:color="auto"/>
        <w:right w:val="none" w:sz="0" w:space="0" w:color="auto"/>
      </w:divBdr>
    </w:div>
    <w:div w:id="1482574163">
      <w:bodyDiv w:val="1"/>
      <w:marLeft w:val="0"/>
      <w:marRight w:val="0"/>
      <w:marTop w:val="0"/>
      <w:marBottom w:val="0"/>
      <w:divBdr>
        <w:top w:val="none" w:sz="0" w:space="0" w:color="auto"/>
        <w:left w:val="none" w:sz="0" w:space="0" w:color="auto"/>
        <w:bottom w:val="none" w:sz="0" w:space="0" w:color="auto"/>
        <w:right w:val="none" w:sz="0" w:space="0" w:color="auto"/>
      </w:divBdr>
    </w:div>
    <w:div w:id="1763793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11</Pages>
  <Words>3040</Words>
  <Characters>17330</Characters>
  <Application>Microsoft Macintosh Word</Application>
  <DocSecurity>0</DocSecurity>
  <Lines>144</Lines>
  <Paragraphs>40</Paragraphs>
  <ScaleCrop>false</ScaleCrop>
  <Company/>
  <LinksUpToDate>false</LinksUpToDate>
  <CharactersWithSpaces>20330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Jon Heller</dc:creator>
  <cp:keywords/>
  <dc:description/>
  <cp:lastModifiedBy>Kevin Jon Heller</cp:lastModifiedBy>
  <cp:revision>201</cp:revision>
  <dcterms:created xsi:type="dcterms:W3CDTF">2013-09-29T02:47:00Z</dcterms:created>
  <dcterms:modified xsi:type="dcterms:W3CDTF">2013-10-27T00:33:00Z</dcterms:modified>
</cp:coreProperties>
</file>