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63E4" w:rsidRDefault="006763E4" w:rsidP="00DD0240">
      <w:pPr>
        <w:spacing w:after="120"/>
        <w:jc w:val="center"/>
        <w:rPr>
          <w:rFonts w:asciiTheme="majorHAnsi" w:hAnsiTheme="majorHAnsi"/>
          <w:b/>
          <w:sz w:val="28"/>
        </w:rPr>
      </w:pPr>
      <w:bookmarkStart w:id="0" w:name="_GoBack"/>
      <w:bookmarkEnd w:id="0"/>
      <w:r w:rsidRPr="006763E4">
        <w:rPr>
          <w:rFonts w:asciiTheme="majorHAnsi" w:hAnsiTheme="majorHAnsi"/>
          <w:b/>
          <w:noProof/>
          <w:sz w:val="28"/>
          <w:lang w:val="en-US"/>
        </w:rPr>
        <w:drawing>
          <wp:anchor distT="0" distB="0" distL="114300" distR="114300" simplePos="0" relativeHeight="251659264" behindDoc="1" locked="0" layoutInCell="1" allowOverlap="1">
            <wp:simplePos x="0" y="0"/>
            <wp:positionH relativeFrom="column">
              <wp:posOffset>3114675</wp:posOffset>
            </wp:positionH>
            <wp:positionV relativeFrom="paragraph">
              <wp:posOffset>-476250</wp:posOffset>
            </wp:positionV>
            <wp:extent cx="2685415" cy="1143000"/>
            <wp:effectExtent l="19050" t="0" r="635" b="0"/>
            <wp:wrapTight wrapText="bothSides">
              <wp:wrapPolygon edited="0">
                <wp:start x="-153" y="0"/>
                <wp:lineTo x="-153" y="21275"/>
                <wp:lineTo x="21605" y="21275"/>
                <wp:lineTo x="21605" y="0"/>
                <wp:lineTo x="-153" y="0"/>
              </wp:wrapPolygon>
            </wp:wrapTight>
            <wp:docPr id="1" name="Picture 1" descr="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E LOGO"/>
                    <pic:cNvPicPr>
                      <a:picLocks noChangeAspect="1" noChangeArrowheads="1"/>
                    </pic:cNvPicPr>
                  </pic:nvPicPr>
                  <pic:blipFill>
                    <a:blip r:embed="rId7" cstate="print"/>
                    <a:stretch>
                      <a:fillRect/>
                    </a:stretch>
                  </pic:blipFill>
                  <pic:spPr bwMode="auto">
                    <a:xfrm>
                      <a:off x="0" y="0"/>
                      <a:ext cx="2685415" cy="1141095"/>
                    </a:xfrm>
                    <a:prstGeom prst="rect">
                      <a:avLst/>
                    </a:prstGeom>
                    <a:noFill/>
                  </pic:spPr>
                </pic:pic>
              </a:graphicData>
            </a:graphic>
          </wp:anchor>
        </w:drawing>
      </w:r>
    </w:p>
    <w:p w:rsidR="006763E4" w:rsidRDefault="006763E4" w:rsidP="00DD0240">
      <w:pPr>
        <w:spacing w:after="120"/>
        <w:jc w:val="center"/>
        <w:rPr>
          <w:rFonts w:asciiTheme="majorHAnsi" w:hAnsiTheme="majorHAnsi"/>
          <w:b/>
          <w:sz w:val="28"/>
        </w:rPr>
      </w:pPr>
    </w:p>
    <w:p w:rsidR="006763E4" w:rsidRDefault="006763E4" w:rsidP="00DD0240">
      <w:pPr>
        <w:spacing w:after="120"/>
        <w:jc w:val="center"/>
        <w:rPr>
          <w:rFonts w:asciiTheme="majorHAnsi" w:hAnsiTheme="majorHAnsi"/>
          <w:b/>
          <w:sz w:val="28"/>
        </w:rPr>
      </w:pPr>
    </w:p>
    <w:p w:rsidR="004A7E90" w:rsidRDefault="004A7E90" w:rsidP="00DD0240">
      <w:pPr>
        <w:spacing w:after="120"/>
        <w:jc w:val="center"/>
        <w:rPr>
          <w:rFonts w:asciiTheme="majorHAnsi" w:hAnsiTheme="majorHAnsi"/>
          <w:b/>
          <w:sz w:val="28"/>
        </w:rPr>
      </w:pPr>
      <w:r w:rsidRPr="001F16C3">
        <w:rPr>
          <w:rFonts w:asciiTheme="majorHAnsi" w:hAnsiTheme="majorHAnsi"/>
          <w:b/>
          <w:sz w:val="28"/>
        </w:rPr>
        <w:t xml:space="preserve">International Court for the Environment: </w:t>
      </w:r>
      <w:r w:rsidR="00B3179C" w:rsidRPr="001F16C3">
        <w:rPr>
          <w:rFonts w:asciiTheme="majorHAnsi" w:hAnsiTheme="majorHAnsi"/>
          <w:b/>
          <w:sz w:val="28"/>
        </w:rPr>
        <w:br/>
      </w:r>
      <w:r w:rsidR="001F16C3" w:rsidRPr="001F16C3">
        <w:rPr>
          <w:rFonts w:asciiTheme="majorHAnsi" w:hAnsiTheme="majorHAnsi"/>
          <w:b/>
          <w:sz w:val="28"/>
        </w:rPr>
        <w:t>T</w:t>
      </w:r>
      <w:r w:rsidR="00B3179C" w:rsidRPr="001F16C3">
        <w:rPr>
          <w:rFonts w:asciiTheme="majorHAnsi" w:hAnsiTheme="majorHAnsi"/>
          <w:b/>
          <w:sz w:val="28"/>
        </w:rPr>
        <w:t xml:space="preserve">he </w:t>
      </w:r>
      <w:r w:rsidR="001F16C3" w:rsidRPr="001F16C3">
        <w:rPr>
          <w:rFonts w:asciiTheme="majorHAnsi" w:hAnsiTheme="majorHAnsi"/>
          <w:b/>
          <w:sz w:val="28"/>
        </w:rPr>
        <w:t>R</w:t>
      </w:r>
      <w:r w:rsidR="00B3179C" w:rsidRPr="001F16C3">
        <w:rPr>
          <w:rFonts w:asciiTheme="majorHAnsi" w:hAnsiTheme="majorHAnsi"/>
          <w:b/>
          <w:sz w:val="28"/>
        </w:rPr>
        <w:t xml:space="preserve">oad </w:t>
      </w:r>
      <w:r w:rsidR="001F16C3" w:rsidRPr="001F16C3">
        <w:rPr>
          <w:rFonts w:asciiTheme="majorHAnsi" w:hAnsiTheme="majorHAnsi"/>
          <w:b/>
          <w:sz w:val="28"/>
        </w:rPr>
        <w:t>A</w:t>
      </w:r>
      <w:r w:rsidR="00B3179C" w:rsidRPr="001F16C3">
        <w:rPr>
          <w:rFonts w:asciiTheme="majorHAnsi" w:hAnsiTheme="majorHAnsi"/>
          <w:b/>
          <w:sz w:val="28"/>
        </w:rPr>
        <w:t xml:space="preserve">head to </w:t>
      </w:r>
      <w:r w:rsidR="001F16C3" w:rsidRPr="001F16C3">
        <w:rPr>
          <w:rFonts w:asciiTheme="majorHAnsi" w:hAnsiTheme="majorHAnsi"/>
          <w:b/>
          <w:sz w:val="28"/>
        </w:rPr>
        <w:t>Opening its Doors</w:t>
      </w:r>
    </w:p>
    <w:p w:rsidR="00FB6F58" w:rsidRPr="00FB6F58" w:rsidRDefault="00FB6F58" w:rsidP="00DD0240">
      <w:pPr>
        <w:spacing w:after="120"/>
        <w:jc w:val="center"/>
        <w:rPr>
          <w:rFonts w:asciiTheme="majorHAnsi" w:hAnsiTheme="majorHAnsi"/>
          <w:b/>
        </w:rPr>
      </w:pPr>
      <w:r w:rsidRPr="00FB6F58">
        <w:rPr>
          <w:rFonts w:asciiTheme="majorHAnsi" w:hAnsiTheme="majorHAnsi"/>
          <w:b/>
        </w:rPr>
        <w:t xml:space="preserve">- Stuart </w:t>
      </w:r>
      <w:r>
        <w:rPr>
          <w:rFonts w:asciiTheme="majorHAnsi" w:hAnsiTheme="majorHAnsi"/>
          <w:b/>
        </w:rPr>
        <w:t xml:space="preserve">A </w:t>
      </w:r>
      <w:r w:rsidRPr="00FB6F58">
        <w:rPr>
          <w:rFonts w:asciiTheme="majorHAnsi" w:hAnsiTheme="majorHAnsi"/>
          <w:b/>
        </w:rPr>
        <w:t xml:space="preserve">Bruce - </w:t>
      </w:r>
    </w:p>
    <w:p w:rsidR="006E043C" w:rsidRPr="001F16C3" w:rsidRDefault="006E043C" w:rsidP="00DD0240">
      <w:pPr>
        <w:spacing w:after="120"/>
        <w:rPr>
          <w:rFonts w:asciiTheme="majorHAnsi" w:hAnsiTheme="majorHAnsi"/>
        </w:rPr>
      </w:pPr>
    </w:p>
    <w:p w:rsidR="008F7A9E" w:rsidRPr="00DD0240" w:rsidRDefault="001F16C3" w:rsidP="001F4830">
      <w:pPr>
        <w:spacing w:after="120"/>
        <w:jc w:val="both"/>
        <w:rPr>
          <w:rFonts w:asciiTheme="majorHAnsi" w:hAnsiTheme="majorHAnsi"/>
          <w:b/>
        </w:rPr>
      </w:pPr>
      <w:r w:rsidRPr="001F16C3">
        <w:rPr>
          <w:rFonts w:asciiTheme="majorHAnsi" w:hAnsiTheme="majorHAnsi"/>
          <w:b/>
        </w:rPr>
        <w:t xml:space="preserve">1. Background to the </w:t>
      </w:r>
      <w:r w:rsidR="00BE7D5B">
        <w:rPr>
          <w:rFonts w:asciiTheme="majorHAnsi" w:hAnsiTheme="majorHAnsi"/>
          <w:b/>
        </w:rPr>
        <w:t>modern</w:t>
      </w:r>
      <w:r w:rsidRPr="001F16C3">
        <w:rPr>
          <w:rFonts w:asciiTheme="majorHAnsi" w:hAnsiTheme="majorHAnsi"/>
          <w:b/>
        </w:rPr>
        <w:t xml:space="preserve"> international</w:t>
      </w:r>
      <w:r w:rsidR="00BE7D5B">
        <w:rPr>
          <w:rFonts w:asciiTheme="majorHAnsi" w:hAnsiTheme="majorHAnsi"/>
          <w:b/>
        </w:rPr>
        <w:t xml:space="preserve"> environmental legal order </w:t>
      </w:r>
    </w:p>
    <w:p w:rsidR="008F7A9E" w:rsidRDefault="008F7A9E" w:rsidP="001F4830">
      <w:pPr>
        <w:spacing w:after="120"/>
        <w:jc w:val="both"/>
        <w:rPr>
          <w:rFonts w:asciiTheme="majorHAnsi" w:hAnsiTheme="majorHAnsi"/>
          <w:sz w:val="22"/>
          <w:szCs w:val="22"/>
        </w:rPr>
      </w:pPr>
      <w:r w:rsidRPr="00CF137A">
        <w:rPr>
          <w:rFonts w:asciiTheme="majorHAnsi" w:hAnsiTheme="majorHAnsi"/>
          <w:sz w:val="22"/>
          <w:szCs w:val="22"/>
        </w:rPr>
        <w:t>Since the UN Conference on the Human Environment in 1972</w:t>
      </w:r>
      <w:r>
        <w:rPr>
          <w:rStyle w:val="FootnoteReference"/>
          <w:rFonts w:asciiTheme="majorHAnsi" w:hAnsiTheme="majorHAnsi"/>
          <w:sz w:val="22"/>
          <w:szCs w:val="22"/>
        </w:rPr>
        <w:footnoteReference w:id="2"/>
      </w:r>
      <w:r>
        <w:rPr>
          <w:rFonts w:asciiTheme="majorHAnsi" w:hAnsiTheme="majorHAnsi"/>
          <w:sz w:val="22"/>
          <w:szCs w:val="22"/>
        </w:rPr>
        <w:t xml:space="preserve"> </w:t>
      </w:r>
      <w:r w:rsidRPr="00CF137A">
        <w:rPr>
          <w:rFonts w:asciiTheme="majorHAnsi" w:hAnsiTheme="majorHAnsi"/>
          <w:sz w:val="22"/>
          <w:szCs w:val="22"/>
        </w:rPr>
        <w:t xml:space="preserve">regional and </w:t>
      </w:r>
      <w:r w:rsidR="00C7321C">
        <w:rPr>
          <w:rFonts w:asciiTheme="majorHAnsi" w:hAnsiTheme="majorHAnsi"/>
          <w:sz w:val="22"/>
          <w:szCs w:val="22"/>
        </w:rPr>
        <w:t>M</w:t>
      </w:r>
      <w:r w:rsidRPr="00CF137A">
        <w:rPr>
          <w:rFonts w:asciiTheme="majorHAnsi" w:hAnsiTheme="majorHAnsi"/>
          <w:sz w:val="22"/>
          <w:szCs w:val="22"/>
        </w:rPr>
        <w:t xml:space="preserve">ultilateral </w:t>
      </w:r>
      <w:r w:rsidR="00C7321C">
        <w:rPr>
          <w:rFonts w:asciiTheme="majorHAnsi" w:hAnsiTheme="majorHAnsi"/>
          <w:sz w:val="22"/>
          <w:szCs w:val="22"/>
        </w:rPr>
        <w:t>E</w:t>
      </w:r>
      <w:r w:rsidRPr="00CF137A">
        <w:rPr>
          <w:rFonts w:asciiTheme="majorHAnsi" w:hAnsiTheme="majorHAnsi"/>
          <w:sz w:val="22"/>
          <w:szCs w:val="22"/>
        </w:rPr>
        <w:t xml:space="preserve">nvironmental </w:t>
      </w:r>
      <w:r w:rsidR="00C7321C">
        <w:rPr>
          <w:rFonts w:asciiTheme="majorHAnsi" w:hAnsiTheme="majorHAnsi"/>
          <w:sz w:val="22"/>
          <w:szCs w:val="22"/>
        </w:rPr>
        <w:t>A</w:t>
      </w:r>
      <w:r w:rsidR="00985D6C">
        <w:rPr>
          <w:rFonts w:asciiTheme="majorHAnsi" w:hAnsiTheme="majorHAnsi"/>
          <w:sz w:val="22"/>
          <w:szCs w:val="22"/>
        </w:rPr>
        <w:t xml:space="preserve">greements </w:t>
      </w:r>
      <w:r w:rsidRPr="00CF137A">
        <w:rPr>
          <w:rFonts w:asciiTheme="majorHAnsi" w:hAnsiTheme="majorHAnsi"/>
          <w:sz w:val="22"/>
          <w:szCs w:val="22"/>
        </w:rPr>
        <w:t xml:space="preserve">have proliferated. The subject matter scope of such </w:t>
      </w:r>
      <w:r>
        <w:rPr>
          <w:rFonts w:asciiTheme="majorHAnsi" w:hAnsiTheme="majorHAnsi"/>
          <w:sz w:val="22"/>
          <w:szCs w:val="22"/>
        </w:rPr>
        <w:t>treaties</w:t>
      </w:r>
      <w:r w:rsidRPr="00CF137A">
        <w:rPr>
          <w:rFonts w:asciiTheme="majorHAnsi" w:hAnsiTheme="majorHAnsi"/>
          <w:sz w:val="22"/>
          <w:szCs w:val="22"/>
        </w:rPr>
        <w:t xml:space="preserve"> </w:t>
      </w:r>
      <w:r>
        <w:rPr>
          <w:rFonts w:asciiTheme="majorHAnsi" w:hAnsiTheme="majorHAnsi"/>
          <w:sz w:val="22"/>
          <w:szCs w:val="22"/>
        </w:rPr>
        <w:t xml:space="preserve">has evolved over time to include </w:t>
      </w:r>
      <w:r w:rsidRPr="00CF137A">
        <w:rPr>
          <w:rFonts w:asciiTheme="majorHAnsi" w:hAnsiTheme="majorHAnsi"/>
          <w:sz w:val="22"/>
          <w:szCs w:val="22"/>
        </w:rPr>
        <w:t>atmospheric pollution</w:t>
      </w:r>
      <w:r>
        <w:rPr>
          <w:rFonts w:asciiTheme="majorHAnsi" w:hAnsiTheme="majorHAnsi"/>
          <w:sz w:val="22"/>
          <w:szCs w:val="22"/>
        </w:rPr>
        <w:t>,</w:t>
      </w:r>
      <w:r>
        <w:rPr>
          <w:rStyle w:val="FootnoteReference"/>
          <w:rFonts w:asciiTheme="majorHAnsi" w:hAnsiTheme="majorHAnsi"/>
          <w:sz w:val="22"/>
          <w:szCs w:val="22"/>
        </w:rPr>
        <w:footnoteReference w:id="3"/>
      </w:r>
      <w:r>
        <w:rPr>
          <w:rFonts w:asciiTheme="majorHAnsi" w:hAnsiTheme="majorHAnsi"/>
          <w:sz w:val="22"/>
          <w:szCs w:val="22"/>
        </w:rPr>
        <w:t xml:space="preserve"> </w:t>
      </w:r>
      <w:r w:rsidRPr="00CF137A">
        <w:rPr>
          <w:rFonts w:asciiTheme="majorHAnsi" w:hAnsiTheme="majorHAnsi"/>
          <w:sz w:val="22"/>
          <w:szCs w:val="22"/>
        </w:rPr>
        <w:t>marine environment,</w:t>
      </w:r>
      <w:r>
        <w:rPr>
          <w:rStyle w:val="FootnoteReference"/>
          <w:rFonts w:asciiTheme="majorHAnsi" w:hAnsiTheme="majorHAnsi"/>
          <w:sz w:val="22"/>
          <w:szCs w:val="22"/>
        </w:rPr>
        <w:footnoteReference w:id="4"/>
      </w:r>
      <w:r w:rsidRPr="00CF137A">
        <w:rPr>
          <w:rFonts w:asciiTheme="majorHAnsi" w:hAnsiTheme="majorHAnsi"/>
          <w:sz w:val="22"/>
          <w:szCs w:val="22"/>
        </w:rPr>
        <w:t xml:space="preserve"> toxic substances,</w:t>
      </w:r>
      <w:r>
        <w:rPr>
          <w:rStyle w:val="FootnoteReference"/>
          <w:rFonts w:asciiTheme="majorHAnsi" w:hAnsiTheme="majorHAnsi"/>
          <w:sz w:val="22"/>
          <w:szCs w:val="22"/>
        </w:rPr>
        <w:footnoteReference w:id="5"/>
      </w:r>
      <w:r w:rsidRPr="00CF137A">
        <w:rPr>
          <w:rFonts w:asciiTheme="majorHAnsi" w:hAnsiTheme="majorHAnsi"/>
          <w:sz w:val="22"/>
          <w:szCs w:val="22"/>
        </w:rPr>
        <w:t xml:space="preserve"> nuclear energy,</w:t>
      </w:r>
      <w:r>
        <w:rPr>
          <w:rStyle w:val="FootnoteReference"/>
          <w:rFonts w:asciiTheme="majorHAnsi" w:hAnsiTheme="majorHAnsi"/>
          <w:sz w:val="22"/>
          <w:szCs w:val="22"/>
        </w:rPr>
        <w:footnoteReference w:id="6"/>
      </w:r>
      <w:r w:rsidRPr="00CF137A">
        <w:rPr>
          <w:rFonts w:asciiTheme="majorHAnsi" w:hAnsiTheme="majorHAnsi"/>
          <w:sz w:val="22"/>
          <w:szCs w:val="22"/>
        </w:rPr>
        <w:t xml:space="preserve"> international watercourses,</w:t>
      </w:r>
      <w:r>
        <w:rPr>
          <w:rStyle w:val="FootnoteReference"/>
          <w:rFonts w:asciiTheme="majorHAnsi" w:hAnsiTheme="majorHAnsi"/>
          <w:sz w:val="22"/>
          <w:szCs w:val="22"/>
        </w:rPr>
        <w:footnoteReference w:id="7"/>
      </w:r>
      <w:r w:rsidRPr="00CF137A">
        <w:rPr>
          <w:rFonts w:asciiTheme="majorHAnsi" w:hAnsiTheme="majorHAnsi"/>
          <w:sz w:val="22"/>
          <w:szCs w:val="22"/>
        </w:rPr>
        <w:t xml:space="preserve"> species </w:t>
      </w:r>
      <w:r>
        <w:rPr>
          <w:rFonts w:asciiTheme="majorHAnsi" w:hAnsiTheme="majorHAnsi"/>
          <w:sz w:val="22"/>
          <w:szCs w:val="22"/>
        </w:rPr>
        <w:t>protection,</w:t>
      </w:r>
      <w:r>
        <w:rPr>
          <w:rStyle w:val="FootnoteReference"/>
          <w:rFonts w:asciiTheme="majorHAnsi" w:hAnsiTheme="majorHAnsi"/>
          <w:sz w:val="22"/>
          <w:szCs w:val="22"/>
        </w:rPr>
        <w:footnoteReference w:id="8"/>
      </w:r>
      <w:r>
        <w:rPr>
          <w:rFonts w:asciiTheme="majorHAnsi" w:hAnsiTheme="majorHAnsi"/>
          <w:sz w:val="22"/>
          <w:szCs w:val="22"/>
        </w:rPr>
        <w:t xml:space="preserve"> </w:t>
      </w:r>
      <w:r w:rsidRPr="00CF137A">
        <w:rPr>
          <w:rFonts w:asciiTheme="majorHAnsi" w:hAnsiTheme="majorHAnsi"/>
          <w:sz w:val="22"/>
          <w:szCs w:val="22"/>
        </w:rPr>
        <w:t>biodiversity conservation</w:t>
      </w:r>
      <w:r>
        <w:rPr>
          <w:rStyle w:val="FootnoteReference"/>
          <w:rFonts w:asciiTheme="majorHAnsi" w:hAnsiTheme="majorHAnsi"/>
          <w:sz w:val="22"/>
          <w:szCs w:val="22"/>
        </w:rPr>
        <w:footnoteReference w:id="9"/>
      </w:r>
      <w:r>
        <w:rPr>
          <w:rFonts w:asciiTheme="majorHAnsi" w:hAnsiTheme="majorHAnsi"/>
          <w:sz w:val="22"/>
          <w:szCs w:val="22"/>
        </w:rPr>
        <w:t xml:space="preserve"> and climate change.</w:t>
      </w:r>
      <w:r>
        <w:rPr>
          <w:rStyle w:val="FootnoteReference"/>
          <w:rFonts w:asciiTheme="majorHAnsi" w:hAnsiTheme="majorHAnsi"/>
          <w:sz w:val="22"/>
          <w:szCs w:val="22"/>
        </w:rPr>
        <w:footnoteReference w:id="10"/>
      </w:r>
      <w:r>
        <w:rPr>
          <w:rFonts w:asciiTheme="majorHAnsi" w:hAnsiTheme="majorHAnsi"/>
          <w:sz w:val="22"/>
          <w:szCs w:val="22"/>
        </w:rPr>
        <w:t xml:space="preserve"> The general aims of environmental treaties include conservation, management, protection and development of the natural environment.</w:t>
      </w:r>
      <w:r>
        <w:rPr>
          <w:rStyle w:val="FootnoteReference"/>
          <w:rFonts w:asciiTheme="majorHAnsi" w:hAnsiTheme="majorHAnsi"/>
          <w:sz w:val="22"/>
          <w:szCs w:val="22"/>
        </w:rPr>
        <w:footnoteReference w:id="11"/>
      </w:r>
      <w:r>
        <w:rPr>
          <w:rFonts w:asciiTheme="majorHAnsi" w:hAnsiTheme="majorHAnsi"/>
          <w:sz w:val="22"/>
          <w:szCs w:val="22"/>
        </w:rPr>
        <w:t xml:space="preserve"> </w:t>
      </w:r>
    </w:p>
    <w:p w:rsidR="003F5C74" w:rsidRDefault="008F7A9E" w:rsidP="000C705B">
      <w:pPr>
        <w:spacing w:after="120"/>
        <w:jc w:val="both"/>
        <w:rPr>
          <w:rFonts w:asciiTheme="majorHAnsi" w:hAnsiTheme="majorHAnsi"/>
          <w:sz w:val="22"/>
          <w:szCs w:val="22"/>
        </w:rPr>
      </w:pPr>
      <w:r>
        <w:rPr>
          <w:rFonts w:asciiTheme="majorHAnsi" w:hAnsiTheme="majorHAnsi"/>
          <w:sz w:val="22"/>
          <w:szCs w:val="22"/>
        </w:rPr>
        <w:t>Progress towards achieving treaty aims is facilitated through numerous State-agreed mechanisms including reporting, monitoring, verification and certain non-compliance procedures,</w:t>
      </w:r>
      <w:r>
        <w:rPr>
          <w:rStyle w:val="FootnoteReference"/>
          <w:rFonts w:asciiTheme="majorHAnsi" w:hAnsiTheme="majorHAnsi"/>
          <w:sz w:val="22"/>
          <w:szCs w:val="22"/>
        </w:rPr>
        <w:footnoteReference w:id="12"/>
      </w:r>
      <w:r>
        <w:rPr>
          <w:rFonts w:asciiTheme="majorHAnsi" w:hAnsiTheme="majorHAnsi"/>
          <w:sz w:val="22"/>
          <w:szCs w:val="22"/>
        </w:rPr>
        <w:t xml:space="preserve"> with varying degrees of success. Compliance with treaty obligations remains inconsistent and </w:t>
      </w:r>
      <w:r w:rsidRPr="00FB56ED">
        <w:rPr>
          <w:rFonts w:asciiTheme="majorHAnsi" w:hAnsiTheme="majorHAnsi"/>
          <w:sz w:val="22"/>
          <w:szCs w:val="22"/>
        </w:rPr>
        <w:t xml:space="preserve">undermines their spirit and purpose. </w:t>
      </w:r>
      <w:r w:rsidR="000C705B">
        <w:rPr>
          <w:rFonts w:asciiTheme="majorHAnsi" w:hAnsiTheme="majorHAnsi"/>
          <w:sz w:val="22"/>
          <w:szCs w:val="22"/>
        </w:rPr>
        <w:t>G</w:t>
      </w:r>
      <w:r w:rsidR="000C705B" w:rsidRPr="00FB56ED">
        <w:rPr>
          <w:rFonts w:asciiTheme="majorHAnsi" w:hAnsiTheme="majorHAnsi"/>
          <w:sz w:val="22"/>
          <w:szCs w:val="22"/>
        </w:rPr>
        <w:t>reater compliance with treaty obligations requires effective en</w:t>
      </w:r>
      <w:r w:rsidR="000C705B">
        <w:rPr>
          <w:rFonts w:asciiTheme="majorHAnsi" w:hAnsiTheme="majorHAnsi"/>
          <w:sz w:val="22"/>
          <w:szCs w:val="22"/>
        </w:rPr>
        <w:t xml:space="preserve">forcement and better judicial dispute resolution. </w:t>
      </w:r>
    </w:p>
    <w:p w:rsidR="001F16C3" w:rsidRDefault="001F16C3" w:rsidP="001F4830">
      <w:pPr>
        <w:spacing w:after="120"/>
        <w:jc w:val="both"/>
        <w:rPr>
          <w:rFonts w:asciiTheme="majorHAnsi" w:hAnsiTheme="majorHAnsi"/>
          <w:b/>
        </w:rPr>
      </w:pPr>
      <w:r w:rsidRPr="001F16C3">
        <w:rPr>
          <w:rFonts w:asciiTheme="majorHAnsi" w:hAnsiTheme="majorHAnsi"/>
          <w:b/>
        </w:rPr>
        <w:t xml:space="preserve">2. Purpose of the International Court for the Environment </w:t>
      </w:r>
    </w:p>
    <w:p w:rsidR="00DD0240" w:rsidRDefault="00DD0240" w:rsidP="001F4830">
      <w:pPr>
        <w:spacing w:after="120"/>
        <w:jc w:val="both"/>
        <w:rPr>
          <w:rFonts w:asciiTheme="majorHAnsi" w:hAnsiTheme="majorHAnsi"/>
          <w:sz w:val="22"/>
          <w:szCs w:val="22"/>
        </w:rPr>
      </w:pPr>
      <w:r>
        <w:rPr>
          <w:rFonts w:asciiTheme="majorHAnsi" w:hAnsiTheme="majorHAnsi"/>
          <w:sz w:val="22"/>
          <w:szCs w:val="22"/>
        </w:rPr>
        <w:t>The current international environmental law regime presents a mismatch between global interdependence and global inter-governance.</w:t>
      </w:r>
      <w:r>
        <w:rPr>
          <w:rStyle w:val="FootnoteReference"/>
          <w:rFonts w:asciiTheme="majorHAnsi" w:hAnsiTheme="majorHAnsi"/>
          <w:sz w:val="22"/>
          <w:szCs w:val="22"/>
        </w:rPr>
        <w:footnoteReference w:id="13"/>
      </w:r>
      <w:r>
        <w:rPr>
          <w:rFonts w:asciiTheme="majorHAnsi" w:hAnsiTheme="majorHAnsi"/>
          <w:sz w:val="22"/>
          <w:szCs w:val="22"/>
        </w:rPr>
        <w:t xml:space="preserve"> What is lacking is a</w:t>
      </w:r>
      <w:r w:rsidR="00F41253">
        <w:rPr>
          <w:rFonts w:asciiTheme="majorHAnsi" w:hAnsiTheme="majorHAnsi"/>
          <w:sz w:val="22"/>
          <w:szCs w:val="22"/>
        </w:rPr>
        <w:t xml:space="preserve"> specialised </w:t>
      </w:r>
      <w:r>
        <w:rPr>
          <w:rFonts w:asciiTheme="majorHAnsi" w:hAnsiTheme="majorHAnsi"/>
          <w:sz w:val="22"/>
          <w:szCs w:val="22"/>
        </w:rPr>
        <w:t xml:space="preserve">international judicial body to hear and determine </w:t>
      </w:r>
      <w:r w:rsidR="0078086C">
        <w:rPr>
          <w:rFonts w:asciiTheme="majorHAnsi" w:hAnsiTheme="majorHAnsi"/>
          <w:sz w:val="22"/>
          <w:szCs w:val="22"/>
        </w:rPr>
        <w:t xml:space="preserve">transboundary </w:t>
      </w:r>
      <w:r w:rsidR="00F41253">
        <w:rPr>
          <w:rFonts w:asciiTheme="majorHAnsi" w:hAnsiTheme="majorHAnsi"/>
          <w:sz w:val="22"/>
          <w:szCs w:val="22"/>
        </w:rPr>
        <w:t xml:space="preserve">environmental </w:t>
      </w:r>
      <w:r>
        <w:rPr>
          <w:rFonts w:asciiTheme="majorHAnsi" w:hAnsiTheme="majorHAnsi"/>
          <w:sz w:val="22"/>
          <w:szCs w:val="22"/>
        </w:rPr>
        <w:t xml:space="preserve">matters </w:t>
      </w:r>
      <w:r w:rsidR="00F41253">
        <w:rPr>
          <w:rFonts w:asciiTheme="majorHAnsi" w:hAnsiTheme="majorHAnsi"/>
          <w:sz w:val="22"/>
          <w:szCs w:val="22"/>
        </w:rPr>
        <w:t xml:space="preserve">and to provide </w:t>
      </w:r>
      <w:r w:rsidR="00681530">
        <w:rPr>
          <w:rFonts w:asciiTheme="majorHAnsi" w:hAnsiTheme="majorHAnsi"/>
          <w:sz w:val="22"/>
          <w:szCs w:val="22"/>
        </w:rPr>
        <w:t xml:space="preserve">greater coherence to the currently fragmented </w:t>
      </w:r>
      <w:r w:rsidR="006C61C2">
        <w:rPr>
          <w:rFonts w:asciiTheme="majorHAnsi" w:hAnsiTheme="majorHAnsi"/>
          <w:sz w:val="22"/>
          <w:szCs w:val="22"/>
        </w:rPr>
        <w:t xml:space="preserve">international </w:t>
      </w:r>
      <w:r w:rsidR="00F41253">
        <w:rPr>
          <w:rFonts w:asciiTheme="majorHAnsi" w:hAnsiTheme="majorHAnsi"/>
          <w:sz w:val="22"/>
          <w:szCs w:val="22"/>
        </w:rPr>
        <w:t xml:space="preserve">environmental </w:t>
      </w:r>
      <w:r w:rsidR="00681530">
        <w:rPr>
          <w:rFonts w:asciiTheme="majorHAnsi" w:hAnsiTheme="majorHAnsi"/>
          <w:sz w:val="22"/>
          <w:szCs w:val="22"/>
        </w:rPr>
        <w:t>governance regime</w:t>
      </w:r>
      <w:r w:rsidR="00F41253">
        <w:rPr>
          <w:rFonts w:asciiTheme="majorHAnsi" w:hAnsiTheme="majorHAnsi"/>
          <w:sz w:val="22"/>
          <w:szCs w:val="22"/>
        </w:rPr>
        <w:t>.</w:t>
      </w:r>
      <w:r w:rsidR="009771D0">
        <w:rPr>
          <w:rFonts w:asciiTheme="majorHAnsi" w:hAnsiTheme="majorHAnsi"/>
          <w:sz w:val="22"/>
          <w:szCs w:val="22"/>
        </w:rPr>
        <w:t xml:space="preserve"> </w:t>
      </w:r>
      <w:r w:rsidR="0078086C" w:rsidRPr="000C705B">
        <w:rPr>
          <w:rFonts w:asciiTheme="majorHAnsi" w:hAnsiTheme="majorHAnsi"/>
          <w:sz w:val="22"/>
          <w:szCs w:val="22"/>
        </w:rPr>
        <w:t>Strengthening international environmental law mechanisms are essential to</w:t>
      </w:r>
      <w:r w:rsidR="0078086C">
        <w:rPr>
          <w:rFonts w:asciiTheme="majorHAnsi" w:hAnsiTheme="majorHAnsi"/>
          <w:sz w:val="22"/>
          <w:szCs w:val="22"/>
        </w:rPr>
        <w:t>, among other things,</w:t>
      </w:r>
      <w:r w:rsidR="0078086C" w:rsidRPr="000C705B">
        <w:rPr>
          <w:rFonts w:asciiTheme="majorHAnsi" w:hAnsiTheme="majorHAnsi"/>
          <w:sz w:val="22"/>
          <w:szCs w:val="22"/>
        </w:rPr>
        <w:t xml:space="preserve"> securing</w:t>
      </w:r>
      <w:r w:rsidR="0078086C">
        <w:rPr>
          <w:rFonts w:asciiTheme="majorHAnsi" w:hAnsiTheme="majorHAnsi"/>
          <w:sz w:val="22"/>
          <w:szCs w:val="22"/>
        </w:rPr>
        <w:t xml:space="preserve"> </w:t>
      </w:r>
      <w:r w:rsidR="0078086C" w:rsidRPr="000C705B">
        <w:rPr>
          <w:rFonts w:asciiTheme="majorHAnsi" w:hAnsiTheme="majorHAnsi"/>
          <w:sz w:val="22"/>
          <w:szCs w:val="22"/>
        </w:rPr>
        <w:t>sustainable development</w:t>
      </w:r>
      <w:r w:rsidR="0078086C">
        <w:rPr>
          <w:rFonts w:asciiTheme="majorHAnsi" w:hAnsiTheme="majorHAnsi"/>
          <w:sz w:val="22"/>
          <w:szCs w:val="22"/>
        </w:rPr>
        <w:t xml:space="preserve"> and combating climate change. </w:t>
      </w:r>
    </w:p>
    <w:p w:rsidR="00E92CE8" w:rsidRDefault="00DD0240" w:rsidP="001F4830">
      <w:pPr>
        <w:spacing w:after="120"/>
        <w:jc w:val="both"/>
        <w:rPr>
          <w:rFonts w:asciiTheme="majorHAnsi" w:hAnsiTheme="majorHAnsi"/>
          <w:sz w:val="22"/>
          <w:szCs w:val="22"/>
        </w:rPr>
      </w:pPr>
      <w:r>
        <w:rPr>
          <w:rFonts w:asciiTheme="majorHAnsi" w:hAnsiTheme="majorHAnsi"/>
          <w:sz w:val="22"/>
          <w:szCs w:val="22"/>
        </w:rPr>
        <w:t xml:space="preserve">The purpose of the International Court for the Environment (“ICE”) is to </w:t>
      </w:r>
      <w:r w:rsidR="00E92CE8">
        <w:rPr>
          <w:rFonts w:asciiTheme="majorHAnsi" w:hAnsiTheme="majorHAnsi"/>
          <w:sz w:val="22"/>
          <w:szCs w:val="22"/>
        </w:rPr>
        <w:t>build trust among the international</w:t>
      </w:r>
      <w:r w:rsidR="0078086C">
        <w:rPr>
          <w:rFonts w:asciiTheme="majorHAnsi" w:hAnsiTheme="majorHAnsi"/>
          <w:sz w:val="22"/>
          <w:szCs w:val="22"/>
        </w:rPr>
        <w:t xml:space="preserve"> community, </w:t>
      </w:r>
      <w:r w:rsidR="00E92CE8">
        <w:rPr>
          <w:rFonts w:asciiTheme="majorHAnsi" w:hAnsiTheme="majorHAnsi"/>
          <w:sz w:val="22"/>
          <w:szCs w:val="22"/>
        </w:rPr>
        <w:t>to clarity</w:t>
      </w:r>
      <w:r w:rsidR="0078086C">
        <w:rPr>
          <w:rFonts w:asciiTheme="majorHAnsi" w:hAnsiTheme="majorHAnsi"/>
          <w:sz w:val="22"/>
          <w:szCs w:val="22"/>
        </w:rPr>
        <w:t xml:space="preserve"> ascertain legal obligations,</w:t>
      </w:r>
      <w:r w:rsidR="0078086C" w:rsidRPr="0078086C">
        <w:rPr>
          <w:rFonts w:asciiTheme="majorHAnsi" w:hAnsiTheme="majorHAnsi"/>
          <w:sz w:val="22"/>
          <w:szCs w:val="22"/>
        </w:rPr>
        <w:t xml:space="preserve"> </w:t>
      </w:r>
      <w:r w:rsidR="0078086C">
        <w:rPr>
          <w:rFonts w:asciiTheme="majorHAnsi" w:hAnsiTheme="majorHAnsi"/>
          <w:sz w:val="22"/>
          <w:szCs w:val="22"/>
        </w:rPr>
        <w:t>to harmonise and complement existing legal regimes, to</w:t>
      </w:r>
      <w:r w:rsidR="0078086C" w:rsidRPr="0078086C">
        <w:rPr>
          <w:rFonts w:asciiTheme="majorHAnsi" w:hAnsiTheme="majorHAnsi"/>
          <w:sz w:val="22"/>
          <w:szCs w:val="22"/>
        </w:rPr>
        <w:t xml:space="preserve"> </w:t>
      </w:r>
      <w:r w:rsidR="0078086C">
        <w:rPr>
          <w:rFonts w:asciiTheme="majorHAnsi" w:hAnsiTheme="majorHAnsi"/>
          <w:sz w:val="22"/>
          <w:szCs w:val="22"/>
        </w:rPr>
        <w:t xml:space="preserve">provide access to justice to a broader range of actors than traditional institutions provide and to </w:t>
      </w:r>
      <w:r w:rsidR="00E92CE8">
        <w:rPr>
          <w:rFonts w:asciiTheme="majorHAnsi" w:hAnsiTheme="majorHAnsi"/>
          <w:sz w:val="22"/>
          <w:szCs w:val="22"/>
        </w:rPr>
        <w:t>create workable solutions to</w:t>
      </w:r>
      <w:r w:rsidR="0078086C">
        <w:rPr>
          <w:rFonts w:asciiTheme="majorHAnsi" w:hAnsiTheme="majorHAnsi"/>
          <w:sz w:val="22"/>
          <w:szCs w:val="22"/>
        </w:rPr>
        <w:t xml:space="preserve"> modern environmental concerns</w:t>
      </w:r>
      <w:r w:rsidR="00E92CE8">
        <w:rPr>
          <w:rFonts w:asciiTheme="majorHAnsi" w:hAnsiTheme="majorHAnsi"/>
          <w:sz w:val="22"/>
          <w:szCs w:val="22"/>
        </w:rPr>
        <w:t xml:space="preserve">.  </w:t>
      </w:r>
    </w:p>
    <w:p w:rsidR="00FB69D6" w:rsidRDefault="00E92CE8" w:rsidP="001F4830">
      <w:pPr>
        <w:spacing w:after="120"/>
        <w:jc w:val="both"/>
        <w:rPr>
          <w:rFonts w:asciiTheme="majorHAnsi" w:hAnsiTheme="majorHAnsi"/>
          <w:sz w:val="22"/>
          <w:szCs w:val="22"/>
        </w:rPr>
      </w:pPr>
      <w:r>
        <w:rPr>
          <w:rFonts w:asciiTheme="majorHAnsi" w:hAnsiTheme="majorHAnsi"/>
          <w:sz w:val="22"/>
          <w:szCs w:val="22"/>
        </w:rPr>
        <w:t xml:space="preserve">In particular, ICE would </w:t>
      </w:r>
      <w:r w:rsidR="00DD0240">
        <w:rPr>
          <w:rFonts w:asciiTheme="majorHAnsi" w:hAnsiTheme="majorHAnsi"/>
          <w:sz w:val="22"/>
          <w:szCs w:val="22"/>
        </w:rPr>
        <w:t>provide the primary forum</w:t>
      </w:r>
      <w:r w:rsidR="00FB69D6">
        <w:rPr>
          <w:rFonts w:asciiTheme="majorHAnsi" w:hAnsiTheme="majorHAnsi"/>
          <w:sz w:val="22"/>
          <w:szCs w:val="22"/>
        </w:rPr>
        <w:t xml:space="preserve"> for the resolution of disputes arising from customary and treaty-based environmental law obligations owed by States to other States or to non-State actors. The multimodal offering will ensure cost-</w:t>
      </w:r>
      <w:r w:rsidR="00F41253">
        <w:rPr>
          <w:rFonts w:asciiTheme="majorHAnsi" w:hAnsiTheme="majorHAnsi"/>
          <w:sz w:val="22"/>
          <w:szCs w:val="22"/>
        </w:rPr>
        <w:t>sensitive</w:t>
      </w:r>
      <w:r w:rsidR="00FB69D6">
        <w:rPr>
          <w:rFonts w:asciiTheme="majorHAnsi" w:hAnsiTheme="majorHAnsi"/>
          <w:sz w:val="22"/>
          <w:szCs w:val="22"/>
        </w:rPr>
        <w:t xml:space="preserve"> and flexible dispute resolu</w:t>
      </w:r>
      <w:r w:rsidR="004D06EB">
        <w:rPr>
          <w:rFonts w:asciiTheme="majorHAnsi" w:hAnsiTheme="majorHAnsi"/>
          <w:sz w:val="22"/>
          <w:szCs w:val="22"/>
        </w:rPr>
        <w:t>tion avenues</w:t>
      </w:r>
      <w:r w:rsidR="00FB69D6">
        <w:rPr>
          <w:rFonts w:asciiTheme="majorHAnsi" w:hAnsiTheme="majorHAnsi"/>
          <w:sz w:val="22"/>
          <w:szCs w:val="22"/>
        </w:rPr>
        <w:t xml:space="preserve">, </w:t>
      </w:r>
      <w:r w:rsidR="00F57377">
        <w:rPr>
          <w:rFonts w:asciiTheme="majorHAnsi" w:hAnsiTheme="majorHAnsi"/>
          <w:sz w:val="22"/>
          <w:szCs w:val="22"/>
        </w:rPr>
        <w:t>including</w:t>
      </w:r>
      <w:r w:rsidR="00FB69D6">
        <w:rPr>
          <w:rFonts w:asciiTheme="majorHAnsi" w:hAnsiTheme="majorHAnsi"/>
          <w:sz w:val="22"/>
          <w:szCs w:val="22"/>
        </w:rPr>
        <w:t xml:space="preserve"> non-bindings negotiation, mediation and</w:t>
      </w:r>
      <w:r w:rsidR="00F57377">
        <w:rPr>
          <w:rFonts w:asciiTheme="majorHAnsi" w:hAnsiTheme="majorHAnsi"/>
          <w:sz w:val="22"/>
          <w:szCs w:val="22"/>
        </w:rPr>
        <w:t xml:space="preserve"> </w:t>
      </w:r>
      <w:r w:rsidR="00FB69D6">
        <w:rPr>
          <w:rFonts w:asciiTheme="majorHAnsi" w:hAnsiTheme="majorHAnsi"/>
          <w:sz w:val="22"/>
          <w:szCs w:val="22"/>
        </w:rPr>
        <w:t>conciliation and binding</w:t>
      </w:r>
      <w:r w:rsidR="00DD0240">
        <w:rPr>
          <w:rFonts w:asciiTheme="majorHAnsi" w:hAnsiTheme="majorHAnsi"/>
          <w:sz w:val="22"/>
          <w:szCs w:val="22"/>
        </w:rPr>
        <w:t xml:space="preserve"> </w:t>
      </w:r>
      <w:r w:rsidR="00FB69D6">
        <w:rPr>
          <w:rFonts w:asciiTheme="majorHAnsi" w:hAnsiTheme="majorHAnsi"/>
          <w:sz w:val="22"/>
          <w:szCs w:val="22"/>
        </w:rPr>
        <w:t>arbitration and</w:t>
      </w:r>
      <w:r w:rsidR="00F57377">
        <w:rPr>
          <w:rFonts w:asciiTheme="majorHAnsi" w:hAnsiTheme="majorHAnsi"/>
          <w:sz w:val="22"/>
          <w:szCs w:val="22"/>
        </w:rPr>
        <w:t xml:space="preserve"> </w:t>
      </w:r>
      <w:r w:rsidR="00FB69D6">
        <w:rPr>
          <w:rFonts w:asciiTheme="majorHAnsi" w:hAnsiTheme="majorHAnsi"/>
          <w:sz w:val="22"/>
          <w:szCs w:val="22"/>
        </w:rPr>
        <w:t xml:space="preserve">judicial determination, as well as judicial </w:t>
      </w:r>
      <w:r w:rsidR="00DD0240">
        <w:rPr>
          <w:rFonts w:asciiTheme="majorHAnsi" w:hAnsiTheme="majorHAnsi"/>
          <w:sz w:val="22"/>
          <w:szCs w:val="22"/>
        </w:rPr>
        <w:t xml:space="preserve">advisory opinions. </w:t>
      </w:r>
      <w:r w:rsidR="009771D0">
        <w:rPr>
          <w:rFonts w:asciiTheme="majorHAnsi" w:hAnsiTheme="majorHAnsi"/>
          <w:sz w:val="22"/>
          <w:szCs w:val="22"/>
        </w:rPr>
        <w:t>Importantly, ICE will be accessible to individuals</w:t>
      </w:r>
      <w:r w:rsidR="00B01E3B">
        <w:rPr>
          <w:rFonts w:asciiTheme="majorHAnsi" w:hAnsiTheme="majorHAnsi"/>
          <w:sz w:val="22"/>
          <w:szCs w:val="22"/>
        </w:rPr>
        <w:t>, corporations and civil society</w:t>
      </w:r>
      <w:r w:rsidR="00F33259">
        <w:rPr>
          <w:rFonts w:asciiTheme="majorHAnsi" w:hAnsiTheme="majorHAnsi"/>
          <w:sz w:val="22"/>
          <w:szCs w:val="22"/>
        </w:rPr>
        <w:t xml:space="preserve">.  </w:t>
      </w:r>
    </w:p>
    <w:p w:rsidR="00543935" w:rsidRPr="00BE7D5B" w:rsidRDefault="00DD0240" w:rsidP="001F4830">
      <w:pPr>
        <w:spacing w:after="120"/>
        <w:jc w:val="both"/>
        <w:rPr>
          <w:rFonts w:asciiTheme="majorHAnsi" w:hAnsiTheme="majorHAnsi"/>
          <w:sz w:val="22"/>
          <w:szCs w:val="22"/>
        </w:rPr>
      </w:pPr>
      <w:r>
        <w:rPr>
          <w:rFonts w:asciiTheme="majorHAnsi" w:hAnsiTheme="majorHAnsi"/>
          <w:sz w:val="22"/>
          <w:szCs w:val="22"/>
        </w:rPr>
        <w:t xml:space="preserve">ICE will also subsume the role of existing environmental treaty-based enforcement bodies, including those established, for example, under the </w:t>
      </w:r>
      <w:r w:rsidRPr="00D7059E">
        <w:rPr>
          <w:rFonts w:asciiTheme="majorHAnsi" w:hAnsiTheme="majorHAnsi"/>
          <w:sz w:val="22"/>
          <w:szCs w:val="22"/>
        </w:rPr>
        <w:t>Convention on Biological Diversity 1992,</w:t>
      </w:r>
      <w:r>
        <w:rPr>
          <w:rStyle w:val="FootnoteReference"/>
          <w:rFonts w:asciiTheme="majorHAnsi" w:hAnsiTheme="majorHAnsi"/>
          <w:sz w:val="22"/>
          <w:szCs w:val="22"/>
        </w:rPr>
        <w:footnoteReference w:id="14"/>
      </w:r>
      <w:r w:rsidRPr="00D7059E">
        <w:rPr>
          <w:rFonts w:asciiTheme="majorHAnsi" w:hAnsiTheme="majorHAnsi"/>
          <w:sz w:val="22"/>
          <w:szCs w:val="22"/>
        </w:rPr>
        <w:t xml:space="preserve"> the United Nations Framework Convention on Climate Change 1992</w:t>
      </w:r>
      <w:r>
        <w:rPr>
          <w:rStyle w:val="FootnoteReference"/>
          <w:rFonts w:asciiTheme="majorHAnsi" w:hAnsiTheme="majorHAnsi"/>
          <w:sz w:val="22"/>
          <w:szCs w:val="22"/>
        </w:rPr>
        <w:footnoteReference w:id="15"/>
      </w:r>
      <w:r w:rsidR="00F36F77">
        <w:rPr>
          <w:rFonts w:asciiTheme="majorHAnsi" w:hAnsiTheme="majorHAnsi"/>
          <w:sz w:val="22"/>
          <w:szCs w:val="22"/>
        </w:rPr>
        <w:t xml:space="preserve"> and the Kyoto Protocol</w:t>
      </w:r>
      <w:r w:rsidRPr="00D7059E">
        <w:rPr>
          <w:rFonts w:asciiTheme="majorHAnsi" w:hAnsiTheme="majorHAnsi"/>
          <w:sz w:val="22"/>
          <w:szCs w:val="22"/>
        </w:rPr>
        <w:t>.</w:t>
      </w:r>
      <w:r>
        <w:rPr>
          <w:rStyle w:val="FootnoteReference"/>
          <w:rFonts w:asciiTheme="majorHAnsi" w:hAnsiTheme="majorHAnsi"/>
          <w:sz w:val="22"/>
          <w:szCs w:val="22"/>
        </w:rPr>
        <w:footnoteReference w:id="16"/>
      </w:r>
      <w:r w:rsidRPr="00D7059E">
        <w:rPr>
          <w:rFonts w:asciiTheme="majorHAnsi" w:hAnsiTheme="majorHAnsi"/>
          <w:sz w:val="22"/>
          <w:szCs w:val="22"/>
        </w:rPr>
        <w:t xml:space="preserve"> </w:t>
      </w:r>
    </w:p>
    <w:p w:rsidR="004A7E90" w:rsidRPr="001F16C3" w:rsidRDefault="001F16C3" w:rsidP="001F4830">
      <w:pPr>
        <w:spacing w:after="120"/>
        <w:jc w:val="both"/>
        <w:rPr>
          <w:rFonts w:asciiTheme="majorHAnsi" w:hAnsiTheme="majorHAnsi"/>
          <w:b/>
        </w:rPr>
      </w:pPr>
      <w:r w:rsidRPr="001F16C3">
        <w:rPr>
          <w:rFonts w:asciiTheme="majorHAnsi" w:hAnsiTheme="majorHAnsi"/>
          <w:b/>
        </w:rPr>
        <w:t xml:space="preserve">3. </w:t>
      </w:r>
      <w:r w:rsidR="00456907">
        <w:rPr>
          <w:rFonts w:asciiTheme="majorHAnsi" w:hAnsiTheme="majorHAnsi"/>
          <w:b/>
        </w:rPr>
        <w:t xml:space="preserve">Bringing the </w:t>
      </w:r>
      <w:r w:rsidR="00456907" w:rsidRPr="001F16C3">
        <w:rPr>
          <w:rFonts w:asciiTheme="majorHAnsi" w:hAnsiTheme="majorHAnsi"/>
          <w:b/>
        </w:rPr>
        <w:t xml:space="preserve">International Court for the Environment </w:t>
      </w:r>
      <w:r w:rsidR="00456907">
        <w:rPr>
          <w:rFonts w:asciiTheme="majorHAnsi" w:hAnsiTheme="majorHAnsi"/>
          <w:b/>
        </w:rPr>
        <w:t xml:space="preserve">into effect in practice </w:t>
      </w:r>
    </w:p>
    <w:p w:rsidR="00F06A66" w:rsidRPr="002F7BC4" w:rsidRDefault="00AE2C66" w:rsidP="001F4830">
      <w:pPr>
        <w:spacing w:after="120"/>
        <w:jc w:val="both"/>
        <w:rPr>
          <w:rFonts w:asciiTheme="majorHAnsi" w:hAnsiTheme="majorHAnsi"/>
          <w:sz w:val="22"/>
        </w:rPr>
      </w:pPr>
      <w:r w:rsidRPr="002F7BC4">
        <w:rPr>
          <w:rFonts w:asciiTheme="majorHAnsi" w:hAnsiTheme="majorHAnsi"/>
          <w:sz w:val="22"/>
        </w:rPr>
        <w:t xml:space="preserve">In practice, there are two major pathways to </w:t>
      </w:r>
      <w:r w:rsidR="00C1135F" w:rsidRPr="002F7BC4">
        <w:rPr>
          <w:rFonts w:asciiTheme="majorHAnsi" w:hAnsiTheme="majorHAnsi"/>
          <w:sz w:val="22"/>
        </w:rPr>
        <w:t>forming</w:t>
      </w:r>
      <w:r w:rsidR="00D46620" w:rsidRPr="002F7BC4">
        <w:rPr>
          <w:rFonts w:asciiTheme="majorHAnsi" w:hAnsiTheme="majorHAnsi"/>
          <w:sz w:val="22"/>
        </w:rPr>
        <w:t xml:space="preserve"> the </w:t>
      </w:r>
      <w:r w:rsidRPr="002F7BC4">
        <w:rPr>
          <w:rFonts w:asciiTheme="majorHAnsi" w:hAnsiTheme="majorHAnsi"/>
          <w:sz w:val="22"/>
        </w:rPr>
        <w:t>ICE: mutual agreement or by treaty.</w:t>
      </w:r>
      <w:r w:rsidR="00D46620" w:rsidRPr="002F7BC4">
        <w:rPr>
          <w:rFonts w:asciiTheme="majorHAnsi" w:hAnsiTheme="majorHAnsi"/>
          <w:sz w:val="22"/>
        </w:rPr>
        <w:t xml:space="preserve"> </w:t>
      </w:r>
      <w:r w:rsidR="000A510E" w:rsidRPr="002F7BC4">
        <w:rPr>
          <w:rFonts w:asciiTheme="majorHAnsi" w:hAnsiTheme="majorHAnsi"/>
          <w:sz w:val="22"/>
        </w:rPr>
        <w:t xml:space="preserve">After </w:t>
      </w:r>
      <w:r w:rsidR="00C1135F" w:rsidRPr="002F7BC4">
        <w:rPr>
          <w:rFonts w:asciiTheme="majorHAnsi" w:hAnsiTheme="majorHAnsi"/>
          <w:sz w:val="22"/>
        </w:rPr>
        <w:t>formation</w:t>
      </w:r>
      <w:r w:rsidR="00F922C8" w:rsidRPr="002F7BC4">
        <w:rPr>
          <w:rFonts w:asciiTheme="majorHAnsi" w:hAnsiTheme="majorHAnsi"/>
          <w:sz w:val="22"/>
        </w:rPr>
        <w:t xml:space="preserve">, the operation of ICE </w:t>
      </w:r>
      <w:r w:rsidR="000A510E" w:rsidRPr="002F7BC4">
        <w:rPr>
          <w:rFonts w:asciiTheme="majorHAnsi" w:hAnsiTheme="majorHAnsi"/>
          <w:sz w:val="22"/>
        </w:rPr>
        <w:t>will be</w:t>
      </w:r>
      <w:r w:rsidR="005839E7" w:rsidRPr="002F7BC4">
        <w:rPr>
          <w:rFonts w:asciiTheme="majorHAnsi" w:hAnsiTheme="majorHAnsi"/>
          <w:sz w:val="22"/>
        </w:rPr>
        <w:t xml:space="preserve"> governed </w:t>
      </w:r>
      <w:r w:rsidR="000A510E" w:rsidRPr="002F7BC4">
        <w:rPr>
          <w:rFonts w:asciiTheme="majorHAnsi" w:hAnsiTheme="majorHAnsi"/>
          <w:sz w:val="22"/>
        </w:rPr>
        <w:t>by its constitution</w:t>
      </w:r>
      <w:r w:rsidR="00F4123C" w:rsidRPr="002F7BC4">
        <w:rPr>
          <w:rFonts w:asciiTheme="majorHAnsi" w:hAnsiTheme="majorHAnsi"/>
          <w:sz w:val="22"/>
        </w:rPr>
        <w:t xml:space="preserve">. </w:t>
      </w:r>
    </w:p>
    <w:p w:rsidR="00F06A66" w:rsidRPr="00F06A66" w:rsidRDefault="00F06A66" w:rsidP="001F4830">
      <w:pPr>
        <w:spacing w:after="120"/>
        <w:jc w:val="both"/>
        <w:rPr>
          <w:rFonts w:asciiTheme="majorHAnsi" w:hAnsiTheme="majorHAnsi"/>
          <w:u w:val="single"/>
        </w:rPr>
      </w:pPr>
      <w:r w:rsidRPr="00F06A66">
        <w:rPr>
          <w:rFonts w:asciiTheme="majorHAnsi" w:hAnsiTheme="majorHAnsi"/>
          <w:u w:val="single"/>
        </w:rPr>
        <w:t xml:space="preserve">Formation </w:t>
      </w:r>
    </w:p>
    <w:p w:rsidR="00AE2C66" w:rsidRPr="00AE2C66" w:rsidRDefault="00AE2C66" w:rsidP="001F4830">
      <w:pPr>
        <w:spacing w:after="120"/>
        <w:jc w:val="both"/>
        <w:rPr>
          <w:rFonts w:asciiTheme="majorHAnsi" w:hAnsiTheme="majorHAnsi"/>
          <w:i/>
        </w:rPr>
      </w:pPr>
      <w:r w:rsidRPr="00AE2C66">
        <w:rPr>
          <w:rFonts w:asciiTheme="majorHAnsi" w:hAnsiTheme="majorHAnsi"/>
          <w:i/>
        </w:rPr>
        <w:t xml:space="preserve">3.1 Mutual agreement </w:t>
      </w:r>
    </w:p>
    <w:p w:rsidR="00311C5E" w:rsidRPr="002F7BC4" w:rsidRDefault="00CE74B0" w:rsidP="00024B2C">
      <w:pPr>
        <w:spacing w:after="120"/>
        <w:jc w:val="both"/>
        <w:rPr>
          <w:rFonts w:asciiTheme="majorHAnsi" w:hAnsiTheme="majorHAnsi"/>
          <w:sz w:val="22"/>
        </w:rPr>
      </w:pPr>
      <w:r w:rsidRPr="002F7BC4">
        <w:rPr>
          <w:rFonts w:asciiTheme="majorHAnsi" w:hAnsiTheme="majorHAnsi"/>
          <w:sz w:val="22"/>
        </w:rPr>
        <w:t>The quickest, cheapest and easiest way to</w:t>
      </w:r>
      <w:r w:rsidR="00F91EE9" w:rsidRPr="002F7BC4">
        <w:rPr>
          <w:rFonts w:asciiTheme="majorHAnsi" w:hAnsiTheme="majorHAnsi"/>
          <w:sz w:val="22"/>
        </w:rPr>
        <w:t xml:space="preserve"> establish the </w:t>
      </w:r>
      <w:r w:rsidRPr="002F7BC4">
        <w:rPr>
          <w:rFonts w:asciiTheme="majorHAnsi" w:hAnsiTheme="majorHAnsi"/>
          <w:sz w:val="22"/>
        </w:rPr>
        <w:t xml:space="preserve">ICE is by mutual agreement. </w:t>
      </w:r>
      <w:r w:rsidR="00DC3252">
        <w:rPr>
          <w:rFonts w:asciiTheme="majorHAnsi" w:hAnsiTheme="majorHAnsi"/>
          <w:sz w:val="22"/>
        </w:rPr>
        <w:t>In practice</w:t>
      </w:r>
      <w:r w:rsidR="009B189F" w:rsidRPr="002F7BC4">
        <w:rPr>
          <w:rFonts w:asciiTheme="majorHAnsi" w:hAnsiTheme="majorHAnsi"/>
          <w:sz w:val="22"/>
        </w:rPr>
        <w:t xml:space="preserve">, </w:t>
      </w:r>
      <w:r w:rsidR="0019315C" w:rsidRPr="002F7BC4">
        <w:rPr>
          <w:rFonts w:asciiTheme="majorHAnsi" w:hAnsiTheme="majorHAnsi"/>
          <w:sz w:val="22"/>
        </w:rPr>
        <w:t xml:space="preserve">parties to a dispute would simply need to </w:t>
      </w:r>
      <w:r w:rsidR="00164387" w:rsidRPr="002F7BC4">
        <w:rPr>
          <w:rFonts w:asciiTheme="majorHAnsi" w:hAnsiTheme="majorHAnsi"/>
          <w:sz w:val="22"/>
        </w:rPr>
        <w:t xml:space="preserve">agree and </w:t>
      </w:r>
      <w:r w:rsidR="00C77B77" w:rsidRPr="002F7BC4">
        <w:rPr>
          <w:rFonts w:asciiTheme="majorHAnsi" w:hAnsiTheme="majorHAnsi"/>
          <w:sz w:val="22"/>
        </w:rPr>
        <w:t>consent to submit their dispute to the j</w:t>
      </w:r>
      <w:r w:rsidR="006B2845" w:rsidRPr="002F7BC4">
        <w:rPr>
          <w:rFonts w:asciiTheme="majorHAnsi" w:hAnsiTheme="majorHAnsi"/>
          <w:sz w:val="22"/>
        </w:rPr>
        <w:t xml:space="preserve">urisdiction of an ICE tribunal and </w:t>
      </w:r>
      <w:r w:rsidR="00164387" w:rsidRPr="002F7BC4">
        <w:rPr>
          <w:rFonts w:asciiTheme="majorHAnsi" w:hAnsiTheme="majorHAnsi"/>
          <w:sz w:val="22"/>
        </w:rPr>
        <w:t xml:space="preserve">to </w:t>
      </w:r>
      <w:r w:rsidR="006B2845" w:rsidRPr="002F7BC4">
        <w:rPr>
          <w:rFonts w:asciiTheme="majorHAnsi" w:hAnsiTheme="majorHAnsi"/>
          <w:sz w:val="22"/>
        </w:rPr>
        <w:t xml:space="preserve">be bound to its constitution, which </w:t>
      </w:r>
      <w:r w:rsidR="00164387" w:rsidRPr="002F7BC4">
        <w:rPr>
          <w:rFonts w:asciiTheme="majorHAnsi" w:hAnsiTheme="majorHAnsi"/>
          <w:sz w:val="22"/>
        </w:rPr>
        <w:t xml:space="preserve">includes </w:t>
      </w:r>
      <w:r w:rsidR="006B2845" w:rsidRPr="002F7BC4">
        <w:rPr>
          <w:rFonts w:asciiTheme="majorHAnsi" w:hAnsiTheme="majorHAnsi"/>
          <w:sz w:val="22"/>
        </w:rPr>
        <w:t xml:space="preserve">the </w:t>
      </w:r>
      <w:r w:rsidR="00797ADE" w:rsidRPr="002F7BC4">
        <w:rPr>
          <w:rFonts w:asciiTheme="majorHAnsi" w:hAnsiTheme="majorHAnsi"/>
          <w:sz w:val="22"/>
        </w:rPr>
        <w:t xml:space="preserve">tribunals </w:t>
      </w:r>
      <w:r w:rsidR="006B2845" w:rsidRPr="002F7BC4">
        <w:rPr>
          <w:rFonts w:asciiTheme="majorHAnsi" w:hAnsiTheme="majorHAnsi"/>
          <w:sz w:val="22"/>
        </w:rPr>
        <w:t xml:space="preserve">jurisdiction, </w:t>
      </w:r>
      <w:r w:rsidR="00164387" w:rsidRPr="002F7BC4">
        <w:rPr>
          <w:rFonts w:asciiTheme="majorHAnsi" w:hAnsiTheme="majorHAnsi"/>
          <w:sz w:val="22"/>
        </w:rPr>
        <w:t>substantive rules</w:t>
      </w:r>
      <w:r w:rsidR="006B2845" w:rsidRPr="002F7BC4">
        <w:rPr>
          <w:rFonts w:asciiTheme="majorHAnsi" w:hAnsiTheme="majorHAnsi"/>
          <w:sz w:val="22"/>
        </w:rPr>
        <w:t xml:space="preserve">, </w:t>
      </w:r>
      <w:r w:rsidR="00164387" w:rsidRPr="002F7BC4">
        <w:rPr>
          <w:rFonts w:asciiTheme="majorHAnsi" w:hAnsiTheme="majorHAnsi"/>
          <w:sz w:val="22"/>
        </w:rPr>
        <w:t xml:space="preserve">grounds for </w:t>
      </w:r>
      <w:r w:rsidR="006B2845" w:rsidRPr="002F7BC4">
        <w:rPr>
          <w:rFonts w:asciiTheme="majorHAnsi" w:hAnsiTheme="majorHAnsi"/>
          <w:sz w:val="22"/>
        </w:rPr>
        <w:t xml:space="preserve">standing. </w:t>
      </w:r>
      <w:r w:rsidR="00DC3252">
        <w:rPr>
          <w:rFonts w:asciiTheme="majorHAnsi" w:hAnsiTheme="majorHAnsi"/>
          <w:sz w:val="22"/>
        </w:rPr>
        <w:t xml:space="preserve">This is akin to existing processes in international law to </w:t>
      </w:r>
      <w:r w:rsidR="00DC3252" w:rsidRPr="002F7BC4">
        <w:rPr>
          <w:rFonts w:asciiTheme="majorHAnsi" w:hAnsiTheme="majorHAnsi"/>
          <w:sz w:val="22"/>
        </w:rPr>
        <w:t xml:space="preserve">establishing </w:t>
      </w:r>
      <w:r w:rsidR="00DC3252">
        <w:rPr>
          <w:rFonts w:asciiTheme="majorHAnsi" w:hAnsiTheme="majorHAnsi"/>
          <w:sz w:val="22"/>
        </w:rPr>
        <w:t xml:space="preserve">private </w:t>
      </w:r>
      <w:r w:rsidR="00DC3252" w:rsidRPr="002F7BC4">
        <w:rPr>
          <w:rFonts w:asciiTheme="majorHAnsi" w:hAnsiTheme="majorHAnsi"/>
          <w:sz w:val="22"/>
        </w:rPr>
        <w:t xml:space="preserve">ad hoc </w:t>
      </w:r>
      <w:r w:rsidR="001624B7">
        <w:rPr>
          <w:rFonts w:asciiTheme="majorHAnsi" w:hAnsiTheme="majorHAnsi"/>
          <w:sz w:val="22"/>
        </w:rPr>
        <w:t xml:space="preserve">arbitral </w:t>
      </w:r>
      <w:r w:rsidR="00DC3252" w:rsidRPr="002F7BC4">
        <w:rPr>
          <w:rFonts w:asciiTheme="majorHAnsi" w:hAnsiTheme="majorHAnsi"/>
          <w:sz w:val="22"/>
        </w:rPr>
        <w:t>tribunals</w:t>
      </w:r>
      <w:r w:rsidR="00DC3252">
        <w:rPr>
          <w:rFonts w:asciiTheme="majorHAnsi" w:hAnsiTheme="majorHAnsi"/>
          <w:sz w:val="22"/>
        </w:rPr>
        <w:t xml:space="preserve">. </w:t>
      </w:r>
    </w:p>
    <w:p w:rsidR="00AE2C66" w:rsidRPr="002F7BC4" w:rsidRDefault="00311C5E" w:rsidP="001F4830">
      <w:pPr>
        <w:spacing w:after="120"/>
        <w:jc w:val="both"/>
        <w:rPr>
          <w:rFonts w:asciiTheme="majorHAnsi" w:hAnsiTheme="majorHAnsi"/>
          <w:sz w:val="22"/>
        </w:rPr>
      </w:pPr>
      <w:r w:rsidRPr="002F7BC4">
        <w:rPr>
          <w:rFonts w:asciiTheme="majorHAnsi" w:hAnsiTheme="majorHAnsi"/>
          <w:sz w:val="22"/>
        </w:rPr>
        <w:t xml:space="preserve">The court as a tribunal established without a treaty could be set up very quickly, within 2 years. </w:t>
      </w:r>
      <w:r w:rsidR="00024B2C" w:rsidRPr="002F7BC4">
        <w:rPr>
          <w:rFonts w:asciiTheme="majorHAnsi" w:hAnsiTheme="majorHAnsi"/>
          <w:sz w:val="22"/>
        </w:rPr>
        <w:t>T</w:t>
      </w:r>
      <w:r w:rsidRPr="002F7BC4">
        <w:rPr>
          <w:rFonts w:asciiTheme="majorHAnsi" w:hAnsiTheme="majorHAnsi"/>
          <w:sz w:val="22"/>
        </w:rPr>
        <w:t>his would then</w:t>
      </w:r>
      <w:r w:rsidR="00024B2C" w:rsidRPr="002F7BC4">
        <w:rPr>
          <w:rFonts w:asciiTheme="majorHAnsi" w:hAnsiTheme="majorHAnsi"/>
          <w:sz w:val="22"/>
        </w:rPr>
        <w:t xml:space="preserve"> provide a working example of what the court can achieve and help to encourage adoption of a UN treaty to mandate a permanent </w:t>
      </w:r>
      <w:r w:rsidR="00427FCC">
        <w:rPr>
          <w:rFonts w:asciiTheme="majorHAnsi" w:hAnsiTheme="majorHAnsi"/>
          <w:sz w:val="22"/>
        </w:rPr>
        <w:t>ICE</w:t>
      </w:r>
      <w:r w:rsidR="00024B2C" w:rsidRPr="002F7BC4">
        <w:rPr>
          <w:rFonts w:asciiTheme="majorHAnsi" w:hAnsiTheme="majorHAnsi"/>
          <w:sz w:val="22"/>
        </w:rPr>
        <w:t>.</w:t>
      </w:r>
    </w:p>
    <w:p w:rsidR="00AE2C66" w:rsidRPr="00AE2C66" w:rsidRDefault="00AE2C66" w:rsidP="001F4830">
      <w:pPr>
        <w:spacing w:after="120"/>
        <w:jc w:val="both"/>
        <w:rPr>
          <w:rFonts w:asciiTheme="majorHAnsi" w:hAnsiTheme="majorHAnsi"/>
          <w:i/>
        </w:rPr>
      </w:pPr>
      <w:r w:rsidRPr="00AE2C66">
        <w:rPr>
          <w:rFonts w:asciiTheme="majorHAnsi" w:hAnsiTheme="majorHAnsi"/>
          <w:i/>
        </w:rPr>
        <w:t xml:space="preserve">3.2 Treaty </w:t>
      </w:r>
    </w:p>
    <w:p w:rsidR="00AE2C66" w:rsidRPr="002F7BC4" w:rsidRDefault="00F91EE9" w:rsidP="001F4830">
      <w:pPr>
        <w:spacing w:after="120"/>
        <w:jc w:val="both"/>
        <w:rPr>
          <w:rFonts w:asciiTheme="majorHAnsi" w:hAnsiTheme="majorHAnsi"/>
          <w:sz w:val="22"/>
        </w:rPr>
      </w:pPr>
      <w:r w:rsidRPr="002F7BC4">
        <w:rPr>
          <w:rFonts w:asciiTheme="majorHAnsi" w:hAnsiTheme="majorHAnsi"/>
          <w:sz w:val="22"/>
        </w:rPr>
        <w:t xml:space="preserve">The more involved mechanism to establish the ICE is through an international treaty. </w:t>
      </w:r>
      <w:r w:rsidR="003E00EE" w:rsidRPr="002F7BC4">
        <w:rPr>
          <w:rFonts w:asciiTheme="majorHAnsi" w:hAnsiTheme="majorHAnsi"/>
          <w:sz w:val="22"/>
        </w:rPr>
        <w:t xml:space="preserve">This process could start by a recommendation at an international conference, such as Rio+20, </w:t>
      </w:r>
      <w:r w:rsidR="002974BD" w:rsidRPr="002F7BC4">
        <w:rPr>
          <w:rFonts w:asciiTheme="majorHAnsi" w:hAnsiTheme="majorHAnsi"/>
          <w:sz w:val="22"/>
        </w:rPr>
        <w:t xml:space="preserve">supported by a UN General Assembly resolution </w:t>
      </w:r>
      <w:r w:rsidR="00350CF3" w:rsidRPr="002F7BC4">
        <w:rPr>
          <w:rFonts w:asciiTheme="majorHAnsi" w:hAnsiTheme="majorHAnsi"/>
          <w:sz w:val="22"/>
        </w:rPr>
        <w:t>authorising th</w:t>
      </w:r>
      <w:r w:rsidR="002729E1" w:rsidRPr="002F7BC4">
        <w:rPr>
          <w:rFonts w:asciiTheme="majorHAnsi" w:hAnsiTheme="majorHAnsi"/>
          <w:sz w:val="22"/>
        </w:rPr>
        <w:t>e commencement of negotiations. While a draft constitution has already been prepared, it is likely that negotiations would ensue informally for some time and culminate in an international conference where delegates of states formally agree to the final version of the constitution</w:t>
      </w:r>
      <w:r w:rsidR="00590F59" w:rsidRPr="002F7BC4">
        <w:rPr>
          <w:rFonts w:asciiTheme="majorHAnsi" w:hAnsiTheme="majorHAnsi"/>
          <w:sz w:val="22"/>
        </w:rPr>
        <w:t xml:space="preserve"> text – all of which has an effect on the timeframe for establishing the court. </w:t>
      </w:r>
    </w:p>
    <w:p w:rsidR="00311C5E" w:rsidRPr="002F7BC4" w:rsidRDefault="000A0D29" w:rsidP="001F4830">
      <w:pPr>
        <w:spacing w:after="120"/>
        <w:jc w:val="both"/>
        <w:rPr>
          <w:rFonts w:asciiTheme="majorHAnsi" w:hAnsiTheme="majorHAnsi"/>
          <w:sz w:val="22"/>
        </w:rPr>
      </w:pPr>
      <w:r w:rsidRPr="002F7BC4">
        <w:rPr>
          <w:rFonts w:asciiTheme="majorHAnsi" w:hAnsiTheme="majorHAnsi"/>
          <w:sz w:val="22"/>
        </w:rPr>
        <w:t>After agreement</w:t>
      </w:r>
      <w:r w:rsidR="00590F59" w:rsidRPr="002F7BC4">
        <w:rPr>
          <w:rFonts w:asciiTheme="majorHAnsi" w:hAnsiTheme="majorHAnsi"/>
          <w:sz w:val="22"/>
        </w:rPr>
        <w:t xml:space="preserve"> of the text</w:t>
      </w:r>
      <w:r w:rsidRPr="002F7BC4">
        <w:rPr>
          <w:rFonts w:asciiTheme="majorHAnsi" w:hAnsiTheme="majorHAnsi"/>
          <w:sz w:val="22"/>
        </w:rPr>
        <w:t>, a pre-determined number of states w</w:t>
      </w:r>
      <w:r w:rsidR="00B82166" w:rsidRPr="002F7BC4">
        <w:rPr>
          <w:rFonts w:asciiTheme="majorHAnsi" w:hAnsiTheme="majorHAnsi"/>
          <w:sz w:val="22"/>
        </w:rPr>
        <w:t xml:space="preserve">ill </w:t>
      </w:r>
      <w:r w:rsidRPr="002F7BC4">
        <w:rPr>
          <w:rFonts w:asciiTheme="majorHAnsi" w:hAnsiTheme="majorHAnsi"/>
          <w:sz w:val="22"/>
        </w:rPr>
        <w:t>need to sign and r</w:t>
      </w:r>
      <w:r w:rsidR="00BD30AD">
        <w:rPr>
          <w:rFonts w:asciiTheme="majorHAnsi" w:hAnsiTheme="majorHAnsi"/>
          <w:sz w:val="22"/>
        </w:rPr>
        <w:t xml:space="preserve">atify the treaty before the ICE </w:t>
      </w:r>
      <w:r w:rsidRPr="002F7BC4">
        <w:rPr>
          <w:rFonts w:asciiTheme="majorHAnsi" w:hAnsiTheme="majorHAnsi"/>
          <w:sz w:val="22"/>
        </w:rPr>
        <w:t>officially c</w:t>
      </w:r>
      <w:r w:rsidR="00B82166" w:rsidRPr="002F7BC4">
        <w:rPr>
          <w:rFonts w:asciiTheme="majorHAnsi" w:hAnsiTheme="majorHAnsi"/>
          <w:sz w:val="22"/>
        </w:rPr>
        <w:t xml:space="preserve">omes </w:t>
      </w:r>
      <w:r w:rsidRPr="002F7BC4">
        <w:rPr>
          <w:rFonts w:asciiTheme="majorHAnsi" w:hAnsiTheme="majorHAnsi"/>
          <w:sz w:val="22"/>
        </w:rPr>
        <w:t xml:space="preserve">into being as a new stand alone international tribunal. </w:t>
      </w:r>
      <w:r w:rsidR="00AB1465" w:rsidRPr="002F7BC4">
        <w:rPr>
          <w:rFonts w:asciiTheme="majorHAnsi" w:hAnsiTheme="majorHAnsi"/>
          <w:sz w:val="22"/>
        </w:rPr>
        <w:t xml:space="preserve">A prototype for this process is the establishment of the International Criminal Court </w:t>
      </w:r>
      <w:r w:rsidR="00B82166" w:rsidRPr="002F7BC4">
        <w:rPr>
          <w:rFonts w:asciiTheme="majorHAnsi" w:hAnsiTheme="majorHAnsi"/>
          <w:sz w:val="22"/>
        </w:rPr>
        <w:t>that</w:t>
      </w:r>
      <w:r w:rsidR="00AB1465" w:rsidRPr="002F7BC4">
        <w:rPr>
          <w:rFonts w:asciiTheme="majorHAnsi" w:hAnsiTheme="majorHAnsi"/>
          <w:sz w:val="22"/>
        </w:rPr>
        <w:t xml:space="preserve"> is founded on negotiations of the Rome Statute. </w:t>
      </w:r>
    </w:p>
    <w:p w:rsidR="00F06A66" w:rsidRPr="00F06A66" w:rsidRDefault="00F06A66" w:rsidP="001F4830">
      <w:pPr>
        <w:spacing w:after="120"/>
        <w:jc w:val="both"/>
        <w:rPr>
          <w:rFonts w:asciiTheme="majorHAnsi" w:hAnsiTheme="majorHAnsi"/>
          <w:u w:val="single"/>
        </w:rPr>
      </w:pPr>
      <w:r w:rsidRPr="00F06A66">
        <w:rPr>
          <w:rFonts w:asciiTheme="majorHAnsi" w:hAnsiTheme="majorHAnsi"/>
          <w:u w:val="single"/>
        </w:rPr>
        <w:t xml:space="preserve">Operation </w:t>
      </w:r>
    </w:p>
    <w:p w:rsidR="005839E7" w:rsidRPr="002F7BC4" w:rsidRDefault="005839E7" w:rsidP="001F4830">
      <w:pPr>
        <w:spacing w:after="120"/>
        <w:jc w:val="both"/>
        <w:rPr>
          <w:rFonts w:asciiTheme="majorHAnsi" w:hAnsiTheme="majorHAnsi"/>
          <w:sz w:val="22"/>
        </w:rPr>
      </w:pPr>
      <w:r w:rsidRPr="002F7BC4">
        <w:rPr>
          <w:rFonts w:asciiTheme="majorHAnsi" w:hAnsiTheme="majorHAnsi"/>
          <w:sz w:val="22"/>
        </w:rPr>
        <w:t xml:space="preserve">Once </w:t>
      </w:r>
      <w:r w:rsidR="00BD30AD">
        <w:rPr>
          <w:rFonts w:asciiTheme="majorHAnsi" w:hAnsiTheme="majorHAnsi"/>
          <w:sz w:val="22"/>
        </w:rPr>
        <w:t xml:space="preserve">ICE </w:t>
      </w:r>
      <w:r w:rsidRPr="002F7BC4">
        <w:rPr>
          <w:rFonts w:asciiTheme="majorHAnsi" w:hAnsiTheme="majorHAnsi"/>
          <w:sz w:val="22"/>
        </w:rPr>
        <w:t>is established, the operations and daily functioning of the court (or tribunal) will be determined in the first instance by it</w:t>
      </w:r>
      <w:r w:rsidR="002A2A4A">
        <w:rPr>
          <w:rFonts w:asciiTheme="majorHAnsi" w:hAnsiTheme="majorHAnsi"/>
          <w:sz w:val="22"/>
        </w:rPr>
        <w:t>s constitution, which sets outs,</w:t>
      </w:r>
      <w:r w:rsidRPr="002F7BC4">
        <w:rPr>
          <w:rFonts w:asciiTheme="majorHAnsi" w:hAnsiTheme="majorHAnsi"/>
          <w:sz w:val="22"/>
        </w:rPr>
        <w:t xml:space="preserve"> among other things, matters relating to jurisdiction, the types of evidence that can be relied upon, procedure, subject matter scope and standing provisions. </w:t>
      </w:r>
    </w:p>
    <w:p w:rsidR="00543935" w:rsidRPr="002F7BC4" w:rsidRDefault="005839E7" w:rsidP="001F4830">
      <w:pPr>
        <w:spacing w:after="120"/>
        <w:jc w:val="both"/>
        <w:rPr>
          <w:rFonts w:asciiTheme="majorHAnsi" w:hAnsiTheme="majorHAnsi"/>
          <w:sz w:val="22"/>
        </w:rPr>
      </w:pPr>
      <w:r w:rsidRPr="002F7BC4">
        <w:rPr>
          <w:rFonts w:asciiTheme="majorHAnsi" w:hAnsiTheme="majorHAnsi"/>
          <w:sz w:val="22"/>
        </w:rPr>
        <w:t>If the court operates more akin to an arbitration tribunal, the parties to a dispute may have a certain degree of freedom to consensually choose the rules of evidence and procedure of the tribunal, akin to</w:t>
      </w:r>
      <w:r w:rsidR="002D026B">
        <w:rPr>
          <w:rFonts w:asciiTheme="majorHAnsi" w:hAnsiTheme="majorHAnsi"/>
          <w:sz w:val="22"/>
        </w:rPr>
        <w:t xml:space="preserve"> the International Centre for Settlement of Investment Disputes</w:t>
      </w:r>
      <w:r w:rsidRPr="002F7BC4">
        <w:rPr>
          <w:rFonts w:asciiTheme="majorHAnsi" w:hAnsiTheme="majorHAnsi"/>
          <w:sz w:val="22"/>
        </w:rPr>
        <w:t>, in addition to relying on scientific evidence and arbitrators</w:t>
      </w:r>
      <w:r w:rsidR="008B053E" w:rsidRPr="002F7BC4">
        <w:rPr>
          <w:rFonts w:asciiTheme="majorHAnsi" w:hAnsiTheme="majorHAnsi"/>
          <w:sz w:val="22"/>
        </w:rPr>
        <w:t xml:space="preserve"> with subject-matter expertise.</w:t>
      </w:r>
    </w:p>
    <w:p w:rsidR="004A7E90" w:rsidRDefault="001F16C3" w:rsidP="001F4830">
      <w:pPr>
        <w:spacing w:after="120"/>
        <w:jc w:val="both"/>
        <w:rPr>
          <w:rFonts w:asciiTheme="majorHAnsi" w:hAnsiTheme="majorHAnsi"/>
          <w:b/>
        </w:rPr>
      </w:pPr>
      <w:r w:rsidRPr="001F16C3">
        <w:rPr>
          <w:rFonts w:asciiTheme="majorHAnsi" w:hAnsiTheme="majorHAnsi"/>
          <w:b/>
        </w:rPr>
        <w:t>4.</w:t>
      </w:r>
      <w:r w:rsidR="00456907">
        <w:rPr>
          <w:rFonts w:asciiTheme="majorHAnsi" w:hAnsiTheme="majorHAnsi"/>
          <w:b/>
        </w:rPr>
        <w:t xml:space="preserve"> Supporters, </w:t>
      </w:r>
      <w:r w:rsidR="004A7E90" w:rsidRPr="001F16C3">
        <w:rPr>
          <w:rFonts w:asciiTheme="majorHAnsi" w:hAnsiTheme="majorHAnsi"/>
          <w:b/>
        </w:rPr>
        <w:t>constituencies and en</w:t>
      </w:r>
      <w:r w:rsidR="001A519A">
        <w:rPr>
          <w:rFonts w:asciiTheme="majorHAnsi" w:hAnsiTheme="majorHAnsi"/>
          <w:b/>
        </w:rPr>
        <w:t>d-</w:t>
      </w:r>
      <w:r w:rsidR="004A7E90" w:rsidRPr="001F16C3">
        <w:rPr>
          <w:rFonts w:asciiTheme="majorHAnsi" w:hAnsiTheme="majorHAnsi"/>
          <w:b/>
        </w:rPr>
        <w:t>users</w:t>
      </w:r>
    </w:p>
    <w:p w:rsidR="0052337D" w:rsidRPr="002F7BC4" w:rsidRDefault="0052337D" w:rsidP="001F4830">
      <w:pPr>
        <w:spacing w:after="120"/>
        <w:jc w:val="both"/>
        <w:rPr>
          <w:rFonts w:asciiTheme="majorHAnsi" w:hAnsiTheme="majorHAnsi"/>
          <w:sz w:val="22"/>
        </w:rPr>
      </w:pPr>
      <w:r w:rsidRPr="002F7BC4">
        <w:rPr>
          <w:rFonts w:asciiTheme="majorHAnsi" w:hAnsiTheme="majorHAnsi"/>
          <w:sz w:val="22"/>
        </w:rPr>
        <w:t xml:space="preserve">Many stakeholders </w:t>
      </w:r>
      <w:r w:rsidR="00543935" w:rsidRPr="002F7BC4">
        <w:rPr>
          <w:rFonts w:asciiTheme="majorHAnsi" w:hAnsiTheme="majorHAnsi"/>
          <w:sz w:val="22"/>
        </w:rPr>
        <w:t>and</w:t>
      </w:r>
      <w:r w:rsidRPr="002F7BC4">
        <w:rPr>
          <w:rFonts w:asciiTheme="majorHAnsi" w:hAnsiTheme="majorHAnsi"/>
          <w:sz w:val="22"/>
        </w:rPr>
        <w:t xml:space="preserve"> groups have an interest </w:t>
      </w:r>
      <w:r w:rsidR="00543935" w:rsidRPr="002F7BC4">
        <w:rPr>
          <w:rFonts w:asciiTheme="majorHAnsi" w:hAnsiTheme="majorHAnsi"/>
          <w:sz w:val="22"/>
        </w:rPr>
        <w:t>in establishing ICE.</w:t>
      </w:r>
      <w:r w:rsidRPr="002F7BC4">
        <w:rPr>
          <w:rFonts w:asciiTheme="majorHAnsi" w:hAnsiTheme="majorHAnsi"/>
          <w:sz w:val="22"/>
        </w:rPr>
        <w:t xml:space="preserve"> </w:t>
      </w:r>
    </w:p>
    <w:p w:rsidR="0052337D" w:rsidRPr="00B339D9" w:rsidRDefault="0052337D" w:rsidP="001F4830">
      <w:pPr>
        <w:spacing w:after="120"/>
        <w:jc w:val="both"/>
        <w:rPr>
          <w:rFonts w:asciiTheme="majorHAnsi" w:hAnsiTheme="majorHAnsi"/>
          <w:i/>
        </w:rPr>
      </w:pPr>
      <w:r w:rsidRPr="00B339D9">
        <w:rPr>
          <w:rFonts w:asciiTheme="majorHAnsi" w:hAnsiTheme="majorHAnsi"/>
          <w:i/>
        </w:rPr>
        <w:t xml:space="preserve">4.1 Civil society and individuals </w:t>
      </w:r>
    </w:p>
    <w:p w:rsidR="00456318" w:rsidRPr="002F7BC4" w:rsidRDefault="00456318" w:rsidP="001F4830">
      <w:pPr>
        <w:spacing w:after="120"/>
        <w:jc w:val="both"/>
        <w:rPr>
          <w:rFonts w:asciiTheme="majorHAnsi" w:hAnsiTheme="majorHAnsi"/>
          <w:sz w:val="22"/>
        </w:rPr>
      </w:pPr>
      <w:r w:rsidRPr="002F7BC4">
        <w:rPr>
          <w:rFonts w:asciiTheme="majorHAnsi" w:hAnsiTheme="majorHAnsi"/>
          <w:sz w:val="22"/>
        </w:rPr>
        <w:t>Historically only states had standing to seek judicial settlement on the international plane, such as through the International Court of Justice</w:t>
      </w:r>
      <w:r w:rsidR="009D47DD">
        <w:rPr>
          <w:rFonts w:asciiTheme="majorHAnsi" w:hAnsiTheme="majorHAnsi"/>
          <w:sz w:val="22"/>
        </w:rPr>
        <w:t xml:space="preserve"> (“ICJ”)</w:t>
      </w:r>
      <w:r w:rsidRPr="002F7BC4">
        <w:rPr>
          <w:rFonts w:asciiTheme="majorHAnsi" w:hAnsiTheme="majorHAnsi"/>
          <w:sz w:val="22"/>
        </w:rPr>
        <w:t xml:space="preserve">. </w:t>
      </w:r>
      <w:r w:rsidR="00523E9C" w:rsidRPr="002F7BC4">
        <w:rPr>
          <w:rFonts w:asciiTheme="majorHAnsi" w:hAnsiTheme="majorHAnsi"/>
          <w:sz w:val="22"/>
        </w:rPr>
        <w:t>Accordingly, most of the people who suffer from internat</w:t>
      </w:r>
      <w:r w:rsidR="009D47DD">
        <w:rPr>
          <w:rFonts w:asciiTheme="majorHAnsi" w:hAnsiTheme="majorHAnsi"/>
          <w:sz w:val="22"/>
        </w:rPr>
        <w:t>ional environmental problems have</w:t>
      </w:r>
      <w:r w:rsidR="00523E9C" w:rsidRPr="002F7BC4">
        <w:rPr>
          <w:rFonts w:asciiTheme="majorHAnsi" w:hAnsiTheme="majorHAnsi"/>
          <w:sz w:val="22"/>
        </w:rPr>
        <w:t xml:space="preserve"> no access to justice. </w:t>
      </w:r>
    </w:p>
    <w:p w:rsidR="0052337D" w:rsidRPr="002F7BC4" w:rsidRDefault="00D64E04" w:rsidP="00466B2B">
      <w:pPr>
        <w:spacing w:after="120"/>
        <w:jc w:val="both"/>
        <w:rPr>
          <w:rFonts w:asciiTheme="majorHAnsi" w:hAnsiTheme="majorHAnsi"/>
          <w:sz w:val="22"/>
        </w:rPr>
      </w:pPr>
      <w:r w:rsidRPr="002F7BC4">
        <w:rPr>
          <w:rFonts w:asciiTheme="majorHAnsi" w:hAnsiTheme="majorHAnsi"/>
          <w:sz w:val="22"/>
        </w:rPr>
        <w:t xml:space="preserve">The </w:t>
      </w:r>
      <w:r w:rsidR="0010216D">
        <w:rPr>
          <w:rFonts w:asciiTheme="majorHAnsi" w:hAnsiTheme="majorHAnsi"/>
          <w:sz w:val="22"/>
        </w:rPr>
        <w:t>broad standing rules of ICE</w:t>
      </w:r>
      <w:r w:rsidR="0073022E">
        <w:rPr>
          <w:rFonts w:asciiTheme="majorHAnsi" w:hAnsiTheme="majorHAnsi"/>
          <w:sz w:val="22"/>
        </w:rPr>
        <w:t xml:space="preserve"> will ensure</w:t>
      </w:r>
      <w:r w:rsidR="0010216D">
        <w:rPr>
          <w:rFonts w:asciiTheme="majorHAnsi" w:hAnsiTheme="majorHAnsi"/>
          <w:sz w:val="22"/>
        </w:rPr>
        <w:t xml:space="preserve"> that</w:t>
      </w:r>
      <w:r w:rsidRPr="002F7BC4">
        <w:rPr>
          <w:rFonts w:asciiTheme="majorHAnsi" w:hAnsiTheme="majorHAnsi"/>
          <w:sz w:val="22"/>
        </w:rPr>
        <w:t xml:space="preserve"> those affected by environmental problems have a direct right of access</w:t>
      </w:r>
      <w:r w:rsidR="0073022E">
        <w:rPr>
          <w:rFonts w:asciiTheme="majorHAnsi" w:hAnsiTheme="majorHAnsi"/>
          <w:sz w:val="22"/>
        </w:rPr>
        <w:t xml:space="preserve"> </w:t>
      </w:r>
      <w:r w:rsidRPr="002F7BC4">
        <w:rPr>
          <w:rFonts w:asciiTheme="majorHAnsi" w:hAnsiTheme="majorHAnsi"/>
          <w:sz w:val="22"/>
        </w:rPr>
        <w:t>– this will often be NGOs</w:t>
      </w:r>
      <w:r w:rsidR="000E300D">
        <w:rPr>
          <w:rFonts w:asciiTheme="majorHAnsi" w:hAnsiTheme="majorHAnsi"/>
          <w:sz w:val="22"/>
        </w:rPr>
        <w:t xml:space="preserve">, civil society and </w:t>
      </w:r>
      <w:r w:rsidR="00244EDF">
        <w:rPr>
          <w:rFonts w:asciiTheme="majorHAnsi" w:hAnsiTheme="majorHAnsi"/>
          <w:sz w:val="22"/>
        </w:rPr>
        <w:t>a</w:t>
      </w:r>
      <w:r w:rsidRPr="002F7BC4">
        <w:rPr>
          <w:rFonts w:asciiTheme="majorHAnsi" w:hAnsiTheme="majorHAnsi"/>
          <w:sz w:val="22"/>
        </w:rPr>
        <w:t xml:space="preserve">ffected communities or individuals. This will </w:t>
      </w:r>
      <w:r w:rsidR="00244EDF">
        <w:rPr>
          <w:rFonts w:asciiTheme="majorHAnsi" w:hAnsiTheme="majorHAnsi"/>
          <w:sz w:val="22"/>
        </w:rPr>
        <w:t xml:space="preserve">enable groups </w:t>
      </w:r>
      <w:r w:rsidRPr="002F7BC4">
        <w:rPr>
          <w:rFonts w:asciiTheme="majorHAnsi" w:hAnsiTheme="majorHAnsi"/>
          <w:sz w:val="22"/>
        </w:rPr>
        <w:t>to bring attention to environmental degradation that their own national governments have been unable or unwilling to address and go some way to implementing the pillars of the Aarhus Convention.</w:t>
      </w:r>
      <w:r w:rsidRPr="002F7BC4">
        <w:rPr>
          <w:rStyle w:val="FootnoteReference"/>
          <w:rFonts w:asciiTheme="majorHAnsi" w:hAnsiTheme="majorHAnsi"/>
          <w:sz w:val="22"/>
        </w:rPr>
        <w:footnoteReference w:id="17"/>
      </w:r>
      <w:r w:rsidRPr="002F7BC4">
        <w:rPr>
          <w:rFonts w:asciiTheme="majorHAnsi" w:hAnsiTheme="majorHAnsi"/>
          <w:sz w:val="22"/>
        </w:rPr>
        <w:t xml:space="preserve"> </w:t>
      </w:r>
    </w:p>
    <w:p w:rsidR="0052337D" w:rsidRPr="00B339D9" w:rsidRDefault="0052337D" w:rsidP="0052337D">
      <w:pPr>
        <w:spacing w:after="120"/>
        <w:jc w:val="both"/>
        <w:rPr>
          <w:rFonts w:asciiTheme="majorHAnsi" w:hAnsiTheme="majorHAnsi"/>
          <w:i/>
        </w:rPr>
      </w:pPr>
      <w:r w:rsidRPr="00B339D9">
        <w:rPr>
          <w:rFonts w:asciiTheme="majorHAnsi" w:hAnsiTheme="majorHAnsi"/>
          <w:i/>
        </w:rPr>
        <w:t>4.2 Business community</w:t>
      </w:r>
    </w:p>
    <w:p w:rsidR="0052337D" w:rsidRPr="002F7BC4" w:rsidRDefault="006A5C59" w:rsidP="0052337D">
      <w:pPr>
        <w:spacing w:after="120"/>
        <w:jc w:val="both"/>
        <w:rPr>
          <w:rFonts w:asciiTheme="majorHAnsi" w:hAnsiTheme="majorHAnsi"/>
          <w:sz w:val="22"/>
        </w:rPr>
      </w:pPr>
      <w:r w:rsidRPr="002F7BC4">
        <w:rPr>
          <w:rFonts w:asciiTheme="majorHAnsi" w:hAnsiTheme="majorHAnsi"/>
          <w:sz w:val="22"/>
        </w:rPr>
        <w:t xml:space="preserve">A vital </w:t>
      </w:r>
      <w:r w:rsidR="004F3F8C">
        <w:rPr>
          <w:rFonts w:asciiTheme="majorHAnsi" w:hAnsiTheme="majorHAnsi"/>
          <w:sz w:val="22"/>
        </w:rPr>
        <w:t xml:space="preserve">constituency </w:t>
      </w:r>
      <w:r w:rsidRPr="002F7BC4">
        <w:rPr>
          <w:rFonts w:asciiTheme="majorHAnsi" w:hAnsiTheme="majorHAnsi"/>
          <w:sz w:val="22"/>
        </w:rPr>
        <w:t>is that of the global business community. ICE will provide business</w:t>
      </w:r>
      <w:r w:rsidR="00B14869">
        <w:rPr>
          <w:rFonts w:asciiTheme="majorHAnsi" w:hAnsiTheme="majorHAnsi"/>
          <w:sz w:val="22"/>
        </w:rPr>
        <w:t>es</w:t>
      </w:r>
      <w:r w:rsidRPr="002F7BC4">
        <w:rPr>
          <w:rFonts w:asciiTheme="majorHAnsi" w:hAnsiTheme="majorHAnsi"/>
          <w:sz w:val="22"/>
        </w:rPr>
        <w:t xml:space="preserve"> with the </w:t>
      </w:r>
      <w:r w:rsidR="00B14869">
        <w:rPr>
          <w:rFonts w:asciiTheme="majorHAnsi" w:hAnsiTheme="majorHAnsi"/>
          <w:sz w:val="22"/>
        </w:rPr>
        <w:t xml:space="preserve">independent assessment of obligation violations, legal certainty </w:t>
      </w:r>
      <w:r w:rsidRPr="002F7BC4">
        <w:rPr>
          <w:rFonts w:asciiTheme="majorHAnsi" w:hAnsiTheme="majorHAnsi"/>
          <w:sz w:val="22"/>
        </w:rPr>
        <w:t xml:space="preserve">and predictability so that long-term investment risk may be effectively managed. ICE could also influence the world business community to </w:t>
      </w:r>
      <w:r w:rsidR="00B14869">
        <w:rPr>
          <w:rFonts w:asciiTheme="majorHAnsi" w:hAnsiTheme="majorHAnsi"/>
          <w:sz w:val="22"/>
        </w:rPr>
        <w:t xml:space="preserve">improve environmental standards and practices </w:t>
      </w:r>
      <w:r w:rsidRPr="002F7BC4">
        <w:rPr>
          <w:rFonts w:asciiTheme="majorHAnsi" w:hAnsiTheme="majorHAnsi"/>
          <w:sz w:val="22"/>
        </w:rPr>
        <w:t>which would produce a corresponding reduction in the risk of environmental catastrophe.</w:t>
      </w:r>
      <w:r w:rsidR="00F93ADF" w:rsidRPr="002F7BC4">
        <w:rPr>
          <w:rFonts w:asciiTheme="majorHAnsi" w:hAnsiTheme="majorHAnsi"/>
          <w:sz w:val="22"/>
        </w:rPr>
        <w:t xml:space="preserve"> An example of a current international dispute well suited to ICE is that of </w:t>
      </w:r>
      <w:r w:rsidR="00F93ADF" w:rsidRPr="002F7BC4">
        <w:rPr>
          <w:rFonts w:asciiTheme="majorHAnsi" w:hAnsiTheme="majorHAnsi"/>
          <w:i/>
          <w:sz w:val="22"/>
        </w:rPr>
        <w:t>Chevron v Ecuador</w:t>
      </w:r>
      <w:r w:rsidR="00F93ADF" w:rsidRPr="002F7BC4">
        <w:rPr>
          <w:rFonts w:asciiTheme="majorHAnsi" w:hAnsiTheme="majorHAnsi"/>
          <w:sz w:val="22"/>
        </w:rPr>
        <w:t xml:space="preserve">, which has been plagued by allegations of judicial imprudence and award enforcement </w:t>
      </w:r>
      <w:r w:rsidR="00B14869">
        <w:rPr>
          <w:rFonts w:asciiTheme="majorHAnsi" w:hAnsiTheme="majorHAnsi"/>
          <w:sz w:val="22"/>
        </w:rPr>
        <w:t>complexity</w:t>
      </w:r>
      <w:r w:rsidR="00F93ADF" w:rsidRPr="002F7BC4">
        <w:rPr>
          <w:rFonts w:asciiTheme="majorHAnsi" w:hAnsiTheme="majorHAnsi"/>
          <w:sz w:val="22"/>
        </w:rPr>
        <w:t xml:space="preserve">. </w:t>
      </w:r>
      <w:r w:rsidR="00B14869">
        <w:rPr>
          <w:rFonts w:asciiTheme="majorHAnsi" w:hAnsiTheme="majorHAnsi"/>
          <w:sz w:val="22"/>
        </w:rPr>
        <w:t xml:space="preserve">As a </w:t>
      </w:r>
      <w:r w:rsidR="00F93ADF" w:rsidRPr="002F7BC4">
        <w:rPr>
          <w:rFonts w:asciiTheme="majorHAnsi" w:hAnsiTheme="majorHAnsi"/>
          <w:sz w:val="22"/>
        </w:rPr>
        <w:t xml:space="preserve">legitimate and globally recognised </w:t>
      </w:r>
      <w:r w:rsidR="00B14869">
        <w:rPr>
          <w:rFonts w:asciiTheme="majorHAnsi" w:hAnsiTheme="majorHAnsi"/>
          <w:sz w:val="22"/>
        </w:rPr>
        <w:t xml:space="preserve">body, ICE </w:t>
      </w:r>
      <w:r w:rsidR="00F93ADF" w:rsidRPr="002F7BC4">
        <w:rPr>
          <w:rFonts w:asciiTheme="majorHAnsi" w:hAnsiTheme="majorHAnsi"/>
          <w:sz w:val="22"/>
        </w:rPr>
        <w:t xml:space="preserve">would overcome many of these </w:t>
      </w:r>
      <w:r w:rsidR="00B14869">
        <w:rPr>
          <w:rFonts w:asciiTheme="majorHAnsi" w:hAnsiTheme="majorHAnsi"/>
          <w:sz w:val="22"/>
        </w:rPr>
        <w:t>challenges</w:t>
      </w:r>
      <w:r w:rsidR="00F93ADF" w:rsidRPr="002F7BC4">
        <w:rPr>
          <w:rFonts w:asciiTheme="majorHAnsi" w:hAnsiTheme="majorHAnsi"/>
          <w:sz w:val="22"/>
        </w:rPr>
        <w:t xml:space="preserve">. </w:t>
      </w:r>
    </w:p>
    <w:p w:rsidR="0052337D" w:rsidRPr="00B339D9" w:rsidRDefault="0052337D" w:rsidP="0052337D">
      <w:pPr>
        <w:spacing w:after="120"/>
        <w:jc w:val="both"/>
        <w:rPr>
          <w:rFonts w:asciiTheme="majorHAnsi" w:hAnsiTheme="majorHAnsi"/>
          <w:i/>
        </w:rPr>
      </w:pPr>
      <w:r w:rsidRPr="00B339D9">
        <w:rPr>
          <w:rFonts w:asciiTheme="majorHAnsi" w:hAnsiTheme="majorHAnsi"/>
          <w:i/>
        </w:rPr>
        <w:t>4.3 States</w:t>
      </w:r>
    </w:p>
    <w:p w:rsidR="0052337D" w:rsidRPr="002F7BC4" w:rsidRDefault="00624630" w:rsidP="0052337D">
      <w:pPr>
        <w:spacing w:after="120"/>
        <w:jc w:val="both"/>
        <w:rPr>
          <w:rFonts w:asciiTheme="majorHAnsi" w:hAnsiTheme="majorHAnsi"/>
          <w:sz w:val="22"/>
        </w:rPr>
      </w:pPr>
      <w:r w:rsidRPr="002F7BC4">
        <w:rPr>
          <w:rFonts w:asciiTheme="majorHAnsi" w:hAnsiTheme="majorHAnsi"/>
          <w:sz w:val="22"/>
        </w:rPr>
        <w:t>ICE will supplementing traditional international dispute resolution fora by providing</w:t>
      </w:r>
      <w:r w:rsidR="00DF74E8" w:rsidRPr="002F7BC4">
        <w:rPr>
          <w:rFonts w:asciiTheme="majorHAnsi" w:hAnsiTheme="majorHAnsi"/>
          <w:sz w:val="22"/>
        </w:rPr>
        <w:t xml:space="preserve"> a body that is able to receive technical and scientific evidence</w:t>
      </w:r>
      <w:r w:rsidR="007318FE">
        <w:rPr>
          <w:rFonts w:asciiTheme="majorHAnsi" w:hAnsiTheme="majorHAnsi"/>
          <w:sz w:val="22"/>
        </w:rPr>
        <w:t xml:space="preserve"> </w:t>
      </w:r>
      <w:r w:rsidR="00DF74E8" w:rsidRPr="002F7BC4">
        <w:rPr>
          <w:rFonts w:asciiTheme="majorHAnsi" w:hAnsiTheme="majorHAnsi"/>
          <w:sz w:val="22"/>
        </w:rPr>
        <w:t>and</w:t>
      </w:r>
      <w:r w:rsidR="007318FE">
        <w:rPr>
          <w:rFonts w:asciiTheme="majorHAnsi" w:hAnsiTheme="majorHAnsi"/>
          <w:sz w:val="22"/>
        </w:rPr>
        <w:t xml:space="preserve"> is</w:t>
      </w:r>
      <w:r w:rsidR="00DF74E8" w:rsidRPr="002F7BC4">
        <w:rPr>
          <w:rFonts w:asciiTheme="majorHAnsi" w:hAnsiTheme="majorHAnsi"/>
          <w:sz w:val="22"/>
        </w:rPr>
        <w:t xml:space="preserve"> populated by judges educated in environmental law matters – a lingering lacuna </w:t>
      </w:r>
      <w:r w:rsidR="007318FE">
        <w:rPr>
          <w:rFonts w:asciiTheme="majorHAnsi" w:hAnsiTheme="majorHAnsi"/>
          <w:sz w:val="22"/>
        </w:rPr>
        <w:t xml:space="preserve">in </w:t>
      </w:r>
      <w:r w:rsidR="00DF74E8" w:rsidRPr="002F7BC4">
        <w:rPr>
          <w:rFonts w:asciiTheme="majorHAnsi" w:hAnsiTheme="majorHAnsi"/>
          <w:sz w:val="22"/>
        </w:rPr>
        <w:t xml:space="preserve">extant international courts and tribunals. </w:t>
      </w:r>
      <w:r w:rsidR="00F24159" w:rsidRPr="002F7BC4">
        <w:rPr>
          <w:rFonts w:asciiTheme="majorHAnsi" w:hAnsiTheme="majorHAnsi"/>
          <w:sz w:val="22"/>
        </w:rPr>
        <w:t>This will provide similar benefits for states as it does the business community</w:t>
      </w:r>
      <w:r w:rsidR="0032001B" w:rsidRPr="002F7BC4">
        <w:rPr>
          <w:rFonts w:asciiTheme="majorHAnsi" w:hAnsiTheme="majorHAnsi"/>
          <w:sz w:val="22"/>
        </w:rPr>
        <w:t xml:space="preserve"> and assist in clarifying and progressively developing international environmental law</w:t>
      </w:r>
      <w:r w:rsidR="00FA5699">
        <w:rPr>
          <w:rFonts w:asciiTheme="majorHAnsi" w:hAnsiTheme="majorHAnsi"/>
          <w:sz w:val="22"/>
        </w:rPr>
        <w:t>.</w:t>
      </w:r>
      <w:r w:rsidR="0032001B" w:rsidRPr="002F7BC4">
        <w:rPr>
          <w:rFonts w:asciiTheme="majorHAnsi" w:hAnsiTheme="majorHAnsi"/>
          <w:sz w:val="22"/>
        </w:rPr>
        <w:t xml:space="preserve"> </w:t>
      </w:r>
    </w:p>
    <w:p w:rsidR="0052337D" w:rsidRPr="002F7BC4" w:rsidRDefault="001132AC" w:rsidP="0052337D">
      <w:pPr>
        <w:spacing w:after="120"/>
        <w:jc w:val="both"/>
        <w:rPr>
          <w:rFonts w:asciiTheme="majorHAnsi" w:hAnsiTheme="majorHAnsi"/>
          <w:sz w:val="22"/>
        </w:rPr>
      </w:pPr>
      <w:r w:rsidRPr="002F7BC4">
        <w:rPr>
          <w:rFonts w:asciiTheme="majorHAnsi" w:hAnsiTheme="majorHAnsi"/>
          <w:sz w:val="22"/>
        </w:rPr>
        <w:t>Th</w:t>
      </w:r>
      <w:r w:rsidR="00DA70E7">
        <w:rPr>
          <w:rFonts w:asciiTheme="majorHAnsi" w:hAnsiTheme="majorHAnsi"/>
          <w:sz w:val="22"/>
        </w:rPr>
        <w:t>e need for a forum providing in-</w:t>
      </w:r>
      <w:r w:rsidRPr="002F7BC4">
        <w:rPr>
          <w:rFonts w:asciiTheme="majorHAnsi" w:hAnsiTheme="majorHAnsi"/>
          <w:sz w:val="22"/>
        </w:rPr>
        <w:t xml:space="preserve">depth consideration of independent science has been reaffirmed recently with the ICJ’s judgment in </w:t>
      </w:r>
      <w:r w:rsidRPr="002F7BC4">
        <w:rPr>
          <w:rFonts w:asciiTheme="majorHAnsi" w:hAnsiTheme="majorHAnsi"/>
          <w:i/>
          <w:sz w:val="22"/>
        </w:rPr>
        <w:t>Argentina v Uruguay</w:t>
      </w:r>
      <w:r w:rsidRPr="002F7BC4">
        <w:rPr>
          <w:rFonts w:asciiTheme="majorHAnsi" w:hAnsiTheme="majorHAnsi"/>
          <w:sz w:val="22"/>
        </w:rPr>
        <w:t xml:space="preserve"> </w:t>
      </w:r>
      <w:r w:rsidR="00DA70E7" w:rsidRPr="00DA70E7">
        <w:rPr>
          <w:rFonts w:asciiTheme="majorHAnsi" w:hAnsiTheme="majorHAnsi"/>
          <w:sz w:val="22"/>
        </w:rPr>
        <w:t>(</w:t>
      </w:r>
      <w:r w:rsidRPr="002F7BC4">
        <w:rPr>
          <w:rFonts w:asciiTheme="majorHAnsi" w:hAnsiTheme="majorHAnsi"/>
          <w:i/>
          <w:sz w:val="22"/>
        </w:rPr>
        <w:t>Pulp Mills</w:t>
      </w:r>
      <w:r w:rsidR="00DA70E7">
        <w:rPr>
          <w:rFonts w:asciiTheme="majorHAnsi" w:hAnsiTheme="majorHAnsi"/>
          <w:sz w:val="22"/>
        </w:rPr>
        <w:t>)</w:t>
      </w:r>
      <w:r w:rsidRPr="002F7BC4">
        <w:rPr>
          <w:rFonts w:asciiTheme="majorHAnsi" w:hAnsiTheme="majorHAnsi"/>
          <w:sz w:val="22"/>
        </w:rPr>
        <w:t>, in which the dissenting judgment regretted the ICJ missing “what can aptly be called a golden opportunity to demonstrate to the international community its ability, and preparedness, to approach scientifically complex disputes in a state-of-the-art manner” (Awn Shawkat Al-Khasawheh and Bruno Simma, 20 April 2010). The ICJ is a valuable institution but it is not capable of providing the adaptability, consideration of science and access to justice for non-State actors required in environmental disputes.</w:t>
      </w:r>
      <w:r w:rsidR="005406C1" w:rsidRPr="002F7BC4">
        <w:rPr>
          <w:rFonts w:asciiTheme="majorHAnsi" w:hAnsiTheme="majorHAnsi"/>
          <w:sz w:val="22"/>
        </w:rPr>
        <w:t xml:space="preserve"> Indeed, in 1993 the ICJ established a s</w:t>
      </w:r>
      <w:r w:rsidR="00850580">
        <w:rPr>
          <w:rFonts w:asciiTheme="majorHAnsi" w:hAnsiTheme="majorHAnsi"/>
          <w:sz w:val="22"/>
        </w:rPr>
        <w:t xml:space="preserve">pecialised environmental chamber but later </w:t>
      </w:r>
      <w:r w:rsidR="005406C1" w:rsidRPr="002F7BC4">
        <w:rPr>
          <w:rFonts w:asciiTheme="majorHAnsi" w:hAnsiTheme="majorHAnsi"/>
          <w:sz w:val="22"/>
        </w:rPr>
        <w:t xml:space="preserve">decommissioned </w:t>
      </w:r>
      <w:r w:rsidR="00850580">
        <w:rPr>
          <w:rFonts w:asciiTheme="majorHAnsi" w:hAnsiTheme="majorHAnsi"/>
          <w:sz w:val="22"/>
        </w:rPr>
        <w:t>it</w:t>
      </w:r>
      <w:r w:rsidR="005406C1" w:rsidRPr="002F7BC4">
        <w:rPr>
          <w:rFonts w:asciiTheme="majorHAnsi" w:hAnsiTheme="majorHAnsi"/>
          <w:sz w:val="22"/>
        </w:rPr>
        <w:t xml:space="preserve">. </w:t>
      </w:r>
    </w:p>
    <w:p w:rsidR="0052337D" w:rsidRPr="00B339D9" w:rsidRDefault="0052337D" w:rsidP="0052337D">
      <w:pPr>
        <w:spacing w:after="120"/>
        <w:jc w:val="both"/>
        <w:rPr>
          <w:rFonts w:asciiTheme="majorHAnsi" w:hAnsiTheme="majorHAnsi"/>
          <w:i/>
        </w:rPr>
      </w:pPr>
      <w:r w:rsidRPr="00B339D9">
        <w:rPr>
          <w:rFonts w:asciiTheme="majorHAnsi" w:hAnsiTheme="majorHAnsi"/>
          <w:i/>
        </w:rPr>
        <w:t xml:space="preserve">4.4 International community </w:t>
      </w:r>
    </w:p>
    <w:p w:rsidR="00456907" w:rsidRPr="002F7BC4" w:rsidRDefault="001A519A" w:rsidP="001F4830">
      <w:pPr>
        <w:spacing w:after="120"/>
        <w:jc w:val="both"/>
        <w:rPr>
          <w:rFonts w:asciiTheme="majorHAnsi" w:hAnsiTheme="majorHAnsi"/>
          <w:sz w:val="22"/>
        </w:rPr>
      </w:pPr>
      <w:r w:rsidRPr="002F7BC4">
        <w:rPr>
          <w:rFonts w:asciiTheme="majorHAnsi" w:hAnsiTheme="majorHAnsi"/>
          <w:sz w:val="22"/>
        </w:rPr>
        <w:t xml:space="preserve">ICE will benefit the international community of states (and non-state actors) in </w:t>
      </w:r>
      <w:r w:rsidR="002B43D9" w:rsidRPr="002F7BC4">
        <w:rPr>
          <w:rFonts w:asciiTheme="majorHAnsi" w:hAnsiTheme="majorHAnsi"/>
          <w:sz w:val="22"/>
        </w:rPr>
        <w:t>at least four</w:t>
      </w:r>
      <w:r w:rsidRPr="002F7BC4">
        <w:rPr>
          <w:rFonts w:asciiTheme="majorHAnsi" w:hAnsiTheme="majorHAnsi"/>
          <w:sz w:val="22"/>
        </w:rPr>
        <w:t xml:space="preserve"> ways: harmonising the fragmented system of international environmental law</w:t>
      </w:r>
      <w:r w:rsidR="006538AB" w:rsidRPr="002F7BC4">
        <w:rPr>
          <w:rFonts w:asciiTheme="majorHAnsi" w:hAnsiTheme="majorHAnsi"/>
          <w:sz w:val="22"/>
        </w:rPr>
        <w:t xml:space="preserve">; </w:t>
      </w:r>
      <w:r w:rsidR="002B43D9" w:rsidRPr="002F7BC4">
        <w:rPr>
          <w:rFonts w:asciiTheme="majorHAnsi" w:hAnsiTheme="majorHAnsi"/>
          <w:sz w:val="22"/>
        </w:rPr>
        <w:t>serv</w:t>
      </w:r>
      <w:r w:rsidR="004C1682">
        <w:rPr>
          <w:rFonts w:asciiTheme="majorHAnsi" w:hAnsiTheme="majorHAnsi"/>
          <w:sz w:val="22"/>
        </w:rPr>
        <w:t xml:space="preserve">ing </w:t>
      </w:r>
      <w:r w:rsidR="002B43D9" w:rsidRPr="002F7BC4">
        <w:rPr>
          <w:rFonts w:asciiTheme="majorHAnsi" w:hAnsiTheme="majorHAnsi"/>
          <w:sz w:val="22"/>
        </w:rPr>
        <w:t xml:space="preserve">as the Chamber for all MEAs which reference art 33(1) UN Charter; </w:t>
      </w:r>
      <w:r w:rsidR="006538AB" w:rsidRPr="002F7BC4">
        <w:rPr>
          <w:rFonts w:asciiTheme="majorHAnsi" w:hAnsiTheme="majorHAnsi"/>
          <w:sz w:val="22"/>
        </w:rPr>
        <w:t>resolv</w:t>
      </w:r>
      <w:r w:rsidR="004C1682">
        <w:rPr>
          <w:rFonts w:asciiTheme="majorHAnsi" w:hAnsiTheme="majorHAnsi"/>
          <w:sz w:val="22"/>
        </w:rPr>
        <w:t xml:space="preserve">ing </w:t>
      </w:r>
      <w:r w:rsidR="006538AB" w:rsidRPr="002F7BC4">
        <w:rPr>
          <w:rFonts w:asciiTheme="majorHAnsi" w:hAnsiTheme="majorHAnsi"/>
          <w:sz w:val="22"/>
        </w:rPr>
        <w:t>conflicting international law obligations, such as those between WTO rules and UNFCCC or Kyoto Protocol obligations</w:t>
      </w:r>
      <w:r w:rsidR="002B43D9" w:rsidRPr="002F7BC4">
        <w:rPr>
          <w:rFonts w:asciiTheme="majorHAnsi" w:hAnsiTheme="majorHAnsi"/>
          <w:sz w:val="22"/>
        </w:rPr>
        <w:t>; provid</w:t>
      </w:r>
      <w:r w:rsidR="004C1682">
        <w:rPr>
          <w:rFonts w:asciiTheme="majorHAnsi" w:hAnsiTheme="majorHAnsi"/>
          <w:sz w:val="22"/>
        </w:rPr>
        <w:t>ing</w:t>
      </w:r>
      <w:r w:rsidR="002B43D9" w:rsidRPr="002F7BC4">
        <w:rPr>
          <w:rFonts w:asciiTheme="majorHAnsi" w:hAnsiTheme="majorHAnsi"/>
          <w:sz w:val="22"/>
        </w:rPr>
        <w:t xml:space="preserve"> interpretive guidance and judicial support to any new international environmental governance body, such as a World Environment Organisation. </w:t>
      </w:r>
    </w:p>
    <w:p w:rsidR="00B3179C" w:rsidRPr="00EA4A91" w:rsidRDefault="001F16C3" w:rsidP="001F4830">
      <w:pPr>
        <w:spacing w:after="120"/>
        <w:jc w:val="both"/>
        <w:rPr>
          <w:rFonts w:asciiTheme="majorHAnsi" w:hAnsiTheme="majorHAnsi"/>
          <w:b/>
        </w:rPr>
      </w:pPr>
      <w:r w:rsidRPr="001F16C3">
        <w:rPr>
          <w:rFonts w:asciiTheme="majorHAnsi" w:hAnsiTheme="majorHAnsi"/>
          <w:b/>
        </w:rPr>
        <w:t xml:space="preserve">5. </w:t>
      </w:r>
      <w:r w:rsidR="00456907">
        <w:rPr>
          <w:rFonts w:asciiTheme="majorHAnsi" w:hAnsiTheme="majorHAnsi"/>
          <w:b/>
        </w:rPr>
        <w:t xml:space="preserve">Driving the process forward </w:t>
      </w:r>
      <w:r w:rsidR="00F96A0D">
        <w:rPr>
          <w:rFonts w:asciiTheme="majorHAnsi" w:hAnsiTheme="majorHAnsi"/>
          <w:b/>
        </w:rPr>
        <w:t xml:space="preserve">– what next? </w:t>
      </w:r>
    </w:p>
    <w:p w:rsidR="0077054D" w:rsidRPr="002F7BC4" w:rsidRDefault="00C57C2F" w:rsidP="00AF0986">
      <w:pPr>
        <w:spacing w:after="120"/>
        <w:jc w:val="both"/>
        <w:rPr>
          <w:rFonts w:asciiTheme="majorHAnsi" w:hAnsiTheme="majorHAnsi"/>
          <w:sz w:val="22"/>
        </w:rPr>
      </w:pPr>
      <w:r w:rsidRPr="002F7BC4">
        <w:rPr>
          <w:rFonts w:asciiTheme="majorHAnsi" w:hAnsiTheme="majorHAnsi"/>
          <w:sz w:val="22"/>
        </w:rPr>
        <w:t xml:space="preserve">To make the ICE a reality, </w:t>
      </w:r>
      <w:r w:rsidR="00704DDD" w:rsidRPr="002F7BC4">
        <w:rPr>
          <w:rFonts w:asciiTheme="majorHAnsi" w:hAnsiTheme="majorHAnsi"/>
          <w:sz w:val="22"/>
        </w:rPr>
        <w:t xml:space="preserve">greater international support and proactive state sponsorship is </w:t>
      </w:r>
      <w:r w:rsidR="00B95A97" w:rsidRPr="002F7BC4">
        <w:rPr>
          <w:rFonts w:asciiTheme="majorHAnsi" w:hAnsiTheme="majorHAnsi"/>
          <w:sz w:val="22"/>
        </w:rPr>
        <w:t>required</w:t>
      </w:r>
      <w:r w:rsidR="00AF0986" w:rsidRPr="002F7BC4">
        <w:rPr>
          <w:rFonts w:asciiTheme="majorHAnsi" w:hAnsiTheme="majorHAnsi"/>
          <w:sz w:val="22"/>
        </w:rPr>
        <w:t xml:space="preserve">, as is </w:t>
      </w:r>
      <w:r w:rsidR="00BE217F" w:rsidRPr="002F7BC4">
        <w:rPr>
          <w:rFonts w:asciiTheme="majorHAnsi" w:hAnsiTheme="majorHAnsi"/>
          <w:sz w:val="22"/>
        </w:rPr>
        <w:t>environmental leadership from the business community</w:t>
      </w:r>
      <w:r w:rsidR="00AF0986" w:rsidRPr="002F7BC4">
        <w:rPr>
          <w:rFonts w:asciiTheme="majorHAnsi" w:hAnsiTheme="majorHAnsi"/>
          <w:sz w:val="22"/>
        </w:rPr>
        <w:t xml:space="preserve">. </w:t>
      </w:r>
      <w:r w:rsidR="0077054D" w:rsidRPr="002F7BC4">
        <w:rPr>
          <w:rFonts w:asciiTheme="majorHAnsi" w:hAnsiTheme="majorHAnsi"/>
          <w:sz w:val="22"/>
        </w:rPr>
        <w:t xml:space="preserve">How long it takes to open the doors </w:t>
      </w:r>
      <w:r w:rsidR="00D67005">
        <w:rPr>
          <w:rFonts w:asciiTheme="majorHAnsi" w:hAnsiTheme="majorHAnsi"/>
          <w:sz w:val="22"/>
        </w:rPr>
        <w:t xml:space="preserve">and the method by which ICE is established </w:t>
      </w:r>
      <w:r w:rsidR="0077054D" w:rsidRPr="002F7BC4">
        <w:rPr>
          <w:rFonts w:asciiTheme="majorHAnsi" w:hAnsiTheme="majorHAnsi"/>
          <w:sz w:val="22"/>
        </w:rPr>
        <w:t xml:space="preserve">depends on the abovementioned variables. </w:t>
      </w:r>
    </w:p>
    <w:p w:rsidR="006B35D4" w:rsidRPr="002F7BC4" w:rsidRDefault="00AF0986" w:rsidP="00AF0986">
      <w:pPr>
        <w:spacing w:after="120"/>
        <w:jc w:val="both"/>
        <w:rPr>
          <w:rFonts w:asciiTheme="majorHAnsi" w:hAnsiTheme="majorHAnsi"/>
          <w:sz w:val="22"/>
        </w:rPr>
      </w:pPr>
      <w:r w:rsidRPr="002F7BC4">
        <w:rPr>
          <w:rFonts w:asciiTheme="majorHAnsi" w:hAnsiTheme="majorHAnsi"/>
          <w:sz w:val="22"/>
        </w:rPr>
        <w:t xml:space="preserve">Many actors have </w:t>
      </w:r>
      <w:r w:rsidR="00C57C2F" w:rsidRPr="002F7BC4">
        <w:rPr>
          <w:rFonts w:asciiTheme="majorHAnsi" w:hAnsiTheme="majorHAnsi"/>
          <w:sz w:val="22"/>
        </w:rPr>
        <w:t xml:space="preserve">publicly acknowledged </w:t>
      </w:r>
      <w:r w:rsidR="00916400" w:rsidRPr="002F7BC4">
        <w:rPr>
          <w:rFonts w:asciiTheme="majorHAnsi" w:hAnsiTheme="majorHAnsi"/>
          <w:sz w:val="22"/>
        </w:rPr>
        <w:t>their</w:t>
      </w:r>
      <w:r w:rsidR="00C57C2F" w:rsidRPr="002F7BC4">
        <w:rPr>
          <w:rFonts w:asciiTheme="majorHAnsi" w:hAnsiTheme="majorHAnsi"/>
          <w:sz w:val="22"/>
        </w:rPr>
        <w:t xml:space="preserve"> support for an ICE of som</w:t>
      </w:r>
      <w:r w:rsidRPr="002F7BC4">
        <w:rPr>
          <w:rFonts w:asciiTheme="majorHAnsi" w:hAnsiTheme="majorHAnsi"/>
          <w:sz w:val="22"/>
        </w:rPr>
        <w:t xml:space="preserve">e type, including the </w:t>
      </w:r>
      <w:r w:rsidR="006B35D4" w:rsidRPr="002F7BC4">
        <w:rPr>
          <w:rFonts w:asciiTheme="majorHAnsi" w:hAnsiTheme="majorHAnsi"/>
          <w:sz w:val="22"/>
        </w:rPr>
        <w:t>United Nations Department of Public Information</w:t>
      </w:r>
      <w:r w:rsidRPr="002F7BC4">
        <w:rPr>
          <w:rFonts w:asciiTheme="majorHAnsi" w:hAnsiTheme="majorHAnsi"/>
          <w:sz w:val="22"/>
        </w:rPr>
        <w:t xml:space="preserve">, </w:t>
      </w:r>
      <w:r w:rsidR="006B35D4" w:rsidRPr="002F7BC4">
        <w:rPr>
          <w:rFonts w:asciiTheme="majorHAnsi" w:hAnsiTheme="majorHAnsi"/>
          <w:sz w:val="22"/>
        </w:rPr>
        <w:t>European Parliament</w:t>
      </w:r>
      <w:r w:rsidRPr="002F7BC4">
        <w:rPr>
          <w:rFonts w:asciiTheme="majorHAnsi" w:hAnsiTheme="majorHAnsi"/>
          <w:sz w:val="22"/>
        </w:rPr>
        <w:t xml:space="preserve">, </w:t>
      </w:r>
      <w:r w:rsidR="006B35D4" w:rsidRPr="002F7BC4">
        <w:rPr>
          <w:rFonts w:asciiTheme="majorHAnsi" w:hAnsiTheme="majorHAnsi"/>
          <w:sz w:val="22"/>
        </w:rPr>
        <w:t>Northern Alliance for Sustainability</w:t>
      </w:r>
      <w:r w:rsidRPr="002F7BC4">
        <w:rPr>
          <w:rFonts w:asciiTheme="majorHAnsi" w:hAnsiTheme="majorHAnsi"/>
          <w:sz w:val="22"/>
        </w:rPr>
        <w:t xml:space="preserve"> and </w:t>
      </w:r>
      <w:r w:rsidR="006B35D4" w:rsidRPr="002F7BC4">
        <w:rPr>
          <w:rFonts w:asciiTheme="majorHAnsi" w:hAnsiTheme="majorHAnsi"/>
          <w:sz w:val="22"/>
        </w:rPr>
        <w:t>The Access Initiative</w:t>
      </w:r>
      <w:r w:rsidRPr="002F7BC4">
        <w:rPr>
          <w:rFonts w:asciiTheme="majorHAnsi" w:hAnsiTheme="majorHAnsi"/>
          <w:sz w:val="22"/>
        </w:rPr>
        <w:t xml:space="preserve">. </w:t>
      </w:r>
      <w:r w:rsidR="004C1682">
        <w:rPr>
          <w:rFonts w:asciiTheme="majorHAnsi" w:hAnsiTheme="majorHAnsi"/>
          <w:sz w:val="22"/>
        </w:rPr>
        <w:t xml:space="preserve">ICE is possible, but requires more support. </w:t>
      </w:r>
    </w:p>
    <w:p w:rsidR="00456907" w:rsidRDefault="00456907" w:rsidP="00DD0240">
      <w:pPr>
        <w:spacing w:after="120"/>
        <w:rPr>
          <w:rFonts w:asciiTheme="majorHAnsi" w:hAnsiTheme="majorHAnsi"/>
        </w:rPr>
      </w:pPr>
    </w:p>
    <w:p w:rsidR="00B3179C" w:rsidRDefault="00B3179C" w:rsidP="00DD0240">
      <w:pPr>
        <w:spacing w:after="120"/>
        <w:rPr>
          <w:rFonts w:asciiTheme="majorHAnsi" w:hAnsiTheme="majorHAnsi"/>
        </w:rPr>
      </w:pPr>
    </w:p>
    <w:p w:rsidR="007C2BCC" w:rsidRPr="001F16C3" w:rsidRDefault="007C2BCC" w:rsidP="00DD0240">
      <w:pPr>
        <w:spacing w:after="120"/>
        <w:rPr>
          <w:rFonts w:asciiTheme="majorHAnsi" w:hAnsiTheme="majorHAnsi"/>
        </w:rPr>
      </w:pPr>
    </w:p>
    <w:sectPr w:rsidR="007C2BCC" w:rsidRPr="001F16C3" w:rsidSect="002C45D2">
      <w:pgSz w:w="11900" w:h="16840"/>
      <w:pgMar w:top="1440" w:right="1800" w:bottom="1440" w:left="1800"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81D33" w:rsidRDefault="00881D33" w:rsidP="008F7A9E">
      <w:r>
        <w:separator/>
      </w:r>
    </w:p>
  </w:endnote>
  <w:endnote w:type="continuationSeparator" w:id="1">
    <w:p w:rsidR="00881D33" w:rsidRDefault="00881D33" w:rsidP="008F7A9E">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81D33" w:rsidRDefault="00881D33" w:rsidP="008F7A9E">
      <w:r>
        <w:separator/>
      </w:r>
    </w:p>
  </w:footnote>
  <w:footnote w:type="continuationSeparator" w:id="1">
    <w:p w:rsidR="00881D33" w:rsidRDefault="00881D33" w:rsidP="008F7A9E">
      <w:r>
        <w:continuationSeparator/>
      </w:r>
    </w:p>
  </w:footnote>
  <w:footnote w:id="2">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Declaration of the United Nations Conference on the Human Environment (Stockholm), UN Doc. A/CONF/48/14/REV.I.</w:t>
      </w:r>
    </w:p>
  </w:footnote>
  <w:footnote w:id="3">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Eg, Convention on Long-Range Transboundary Air </w:t>
      </w:r>
      <w:r w:rsidRPr="00C3511E">
        <w:rPr>
          <w:rFonts w:asciiTheme="majorHAnsi" w:hAnsiTheme="majorHAnsi"/>
          <w:sz w:val="20"/>
          <w:szCs w:val="20"/>
        </w:rPr>
        <w:t>Pollution (Geneva),</w:t>
      </w:r>
      <w:r w:rsidRPr="00393264">
        <w:rPr>
          <w:rFonts w:asciiTheme="majorHAnsi" w:hAnsiTheme="majorHAnsi"/>
          <w:sz w:val="20"/>
          <w:szCs w:val="20"/>
        </w:rPr>
        <w:t xml:space="preserve"> 18 ILM (1979) 1442. </w:t>
      </w:r>
    </w:p>
  </w:footnote>
  <w:footnote w:id="4">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United Nations Convention on the Law of the Sea (Montego Bay)</w:t>
      </w:r>
      <w:r>
        <w:rPr>
          <w:rFonts w:asciiTheme="majorHAnsi" w:hAnsiTheme="majorHAnsi"/>
          <w:sz w:val="20"/>
          <w:szCs w:val="20"/>
        </w:rPr>
        <w:t>,</w:t>
      </w:r>
      <w:r w:rsidRPr="00393264">
        <w:rPr>
          <w:rFonts w:asciiTheme="majorHAnsi" w:hAnsiTheme="majorHAnsi"/>
          <w:sz w:val="20"/>
          <w:szCs w:val="20"/>
        </w:rPr>
        <w:t xml:space="preserve"> 21 ILM (1982) 1261.</w:t>
      </w:r>
    </w:p>
  </w:footnote>
  <w:footnote w:id="5">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Convention on Prior Informed Consent Procedure for Certain Hazardous Chemicals and Pesticides in International Trade (Rotterdam), 38 ILM (1999); UNECE Convention on Persistent Organic Pollutants (Stockholm), 37 ILM (1998) 505.</w:t>
      </w:r>
    </w:p>
  </w:footnote>
  <w:footnote w:id="6">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Treaty on the Non-Proliferation of Nuclear Weapons, 7 ILM (1968) 809. </w:t>
      </w:r>
    </w:p>
  </w:footnote>
  <w:footnote w:id="7">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Convention on the Law of Non-Navigational Uses of International Watercourses, 36 ILM (1997) 719. </w:t>
      </w:r>
    </w:p>
  </w:footnote>
  <w:footnote w:id="8">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Convention on International Trade in Endangered Species of Wild Flora and Fauna (Washington)</w:t>
      </w:r>
      <w:r>
        <w:rPr>
          <w:rFonts w:asciiTheme="majorHAnsi" w:hAnsiTheme="majorHAnsi"/>
          <w:sz w:val="20"/>
          <w:szCs w:val="20"/>
        </w:rPr>
        <w:t>,</w:t>
      </w:r>
      <w:r w:rsidRPr="00393264">
        <w:rPr>
          <w:rFonts w:asciiTheme="majorHAnsi" w:hAnsiTheme="majorHAnsi"/>
          <w:sz w:val="20"/>
          <w:szCs w:val="20"/>
        </w:rPr>
        <w:t xml:space="preserve"> 993 UNTS 243.</w:t>
      </w:r>
    </w:p>
  </w:footnote>
  <w:footnote w:id="9">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Convention on Biological Diversity, 31 ILM (1992) 818 (“Biodiversity Convention”). </w:t>
      </w:r>
    </w:p>
  </w:footnote>
  <w:footnote w:id="10">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Framework Convention on Climate Change, 31 ILM (1992) 851 (“UNFCCC”); Protocol to the Framework Convention on Climate Change (Kyoto), 37 ILM (1998J) 22 (“KP”).</w:t>
      </w:r>
    </w:p>
  </w:footnote>
  <w:footnote w:id="11">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Patricia Bernie, Alan Boyle and Catherine Redgwell, </w:t>
      </w:r>
      <w:r w:rsidRPr="00393264">
        <w:rPr>
          <w:rFonts w:asciiTheme="majorHAnsi" w:hAnsiTheme="majorHAnsi"/>
          <w:i/>
          <w:sz w:val="20"/>
          <w:szCs w:val="20"/>
        </w:rPr>
        <w:t xml:space="preserve">International Law &amp; The </w:t>
      </w:r>
      <w:r w:rsidRPr="00393264">
        <w:rPr>
          <w:rFonts w:asciiTheme="majorHAnsi" w:hAnsiTheme="majorHAnsi"/>
          <w:sz w:val="20"/>
          <w:szCs w:val="20"/>
        </w:rPr>
        <w:t>Environment (2009) pp.</w:t>
      </w:r>
      <w:r w:rsidRPr="00393264">
        <w:rPr>
          <w:rFonts w:asciiTheme="majorHAnsi" w:hAnsiTheme="majorHAnsi"/>
          <w:sz w:val="20"/>
          <w:szCs w:val="20"/>
          <w:lang w:val="en-US"/>
        </w:rPr>
        <w:t>7-8.</w:t>
      </w:r>
    </w:p>
  </w:footnote>
  <w:footnote w:id="12">
    <w:p w:rsidR="0010216D" w:rsidRPr="00393264" w:rsidRDefault="0010216D" w:rsidP="008F7A9E">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See, eg, </w:t>
      </w:r>
      <w:r w:rsidRPr="00393264">
        <w:rPr>
          <w:rFonts w:asciiTheme="majorHAnsi" w:hAnsiTheme="majorHAnsi"/>
          <w:sz w:val="20"/>
          <w:szCs w:val="20"/>
          <w:lang w:val="en-US"/>
        </w:rPr>
        <w:t>Protocol on Substances that Deplete the Ozone Layer (Montreal)</w:t>
      </w:r>
      <w:r>
        <w:rPr>
          <w:rFonts w:asciiTheme="majorHAnsi" w:hAnsiTheme="majorHAnsi"/>
          <w:sz w:val="20"/>
          <w:szCs w:val="20"/>
          <w:lang w:val="en-US"/>
        </w:rPr>
        <w:t>,</w:t>
      </w:r>
      <w:r w:rsidRPr="00393264">
        <w:rPr>
          <w:rFonts w:asciiTheme="majorHAnsi" w:hAnsiTheme="majorHAnsi"/>
          <w:sz w:val="20"/>
          <w:szCs w:val="20"/>
          <w:lang w:val="en-US"/>
        </w:rPr>
        <w:t xml:space="preserve"> UKTS 19 (1990) MC. 9777, for a very successful non-compliance mechanism. </w:t>
      </w:r>
    </w:p>
  </w:footnote>
  <w:footnote w:id="13">
    <w:p w:rsidR="0010216D" w:rsidRPr="00393264" w:rsidRDefault="0010216D" w:rsidP="00DD0240">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Lord Anthony Giddens, International Court for the Environment presentation at the London School of Economics (Press Release, 24 November 2009, http://www.environmentcourt.com/siteimg/1260458555LSE_Nov_09_</w:t>
      </w:r>
      <w:r w:rsidRPr="00C3511E">
        <w:rPr>
          <w:rFonts w:asciiTheme="majorHAnsi" w:hAnsiTheme="majorHAnsi"/>
          <w:sz w:val="20"/>
          <w:szCs w:val="20"/>
        </w:rPr>
        <w:t>release.pdf).</w:t>
      </w:r>
    </w:p>
  </w:footnote>
  <w:footnote w:id="14">
    <w:p w:rsidR="0010216D" w:rsidRPr="00393264" w:rsidRDefault="0010216D" w:rsidP="00DD0240">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Biodiversity Convention.</w:t>
      </w:r>
    </w:p>
  </w:footnote>
  <w:footnote w:id="15">
    <w:p w:rsidR="0010216D" w:rsidRPr="00393264" w:rsidRDefault="0010216D" w:rsidP="00DD0240">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 xml:space="preserve">UNFCCC. </w:t>
      </w:r>
    </w:p>
  </w:footnote>
  <w:footnote w:id="16">
    <w:p w:rsidR="0010216D" w:rsidRPr="00393264" w:rsidRDefault="0010216D" w:rsidP="00DD0240">
      <w:pPr>
        <w:pStyle w:val="FootnoteText"/>
        <w:ind w:left="284" w:hanging="284"/>
        <w:rPr>
          <w:rFonts w:asciiTheme="majorHAnsi" w:hAnsiTheme="majorHAnsi"/>
          <w:sz w:val="20"/>
          <w:szCs w:val="20"/>
          <w:lang w:val="en-US"/>
        </w:rPr>
      </w:pPr>
      <w:r w:rsidRPr="00393264">
        <w:rPr>
          <w:rStyle w:val="FootnoteReference"/>
          <w:rFonts w:asciiTheme="majorHAnsi" w:hAnsiTheme="majorHAnsi"/>
          <w:sz w:val="20"/>
          <w:szCs w:val="20"/>
        </w:rPr>
        <w:footnoteRef/>
      </w:r>
      <w:r w:rsidRPr="00393264">
        <w:rPr>
          <w:rFonts w:asciiTheme="majorHAnsi" w:hAnsiTheme="majorHAnsi"/>
          <w:sz w:val="20"/>
          <w:szCs w:val="20"/>
        </w:rPr>
        <w:t xml:space="preserve"> </w:t>
      </w:r>
      <w:r w:rsidRPr="00393264">
        <w:rPr>
          <w:rFonts w:asciiTheme="majorHAnsi" w:hAnsiTheme="majorHAnsi"/>
          <w:sz w:val="20"/>
          <w:szCs w:val="20"/>
        </w:rPr>
        <w:tab/>
        <w:t>KP.</w:t>
      </w:r>
    </w:p>
  </w:footnote>
  <w:footnote w:id="17">
    <w:p w:rsidR="0010216D" w:rsidRPr="00D64E04" w:rsidRDefault="0010216D" w:rsidP="00D64E04">
      <w:pPr>
        <w:pStyle w:val="FootnoteText"/>
        <w:rPr>
          <w:rFonts w:asciiTheme="majorHAnsi" w:hAnsiTheme="majorHAnsi"/>
          <w:sz w:val="20"/>
          <w:szCs w:val="20"/>
        </w:rPr>
      </w:pPr>
      <w:r>
        <w:rPr>
          <w:rStyle w:val="FootnoteReference"/>
        </w:rPr>
        <w:footnoteRef/>
      </w:r>
      <w:r>
        <w:t xml:space="preserve"> </w:t>
      </w:r>
      <w:r>
        <w:rPr>
          <w:rFonts w:asciiTheme="majorHAnsi" w:hAnsiTheme="majorHAnsi"/>
          <w:sz w:val="20"/>
          <w:szCs w:val="20"/>
        </w:rPr>
        <w:t>Convention on Access t</w:t>
      </w:r>
      <w:r w:rsidRPr="00D64E04">
        <w:rPr>
          <w:rFonts w:asciiTheme="majorHAnsi" w:hAnsiTheme="majorHAnsi"/>
          <w:sz w:val="20"/>
          <w:szCs w:val="20"/>
        </w:rPr>
        <w:t>o Information, Public</w:t>
      </w:r>
      <w:r>
        <w:rPr>
          <w:rFonts w:asciiTheme="majorHAnsi" w:hAnsiTheme="majorHAnsi"/>
          <w:sz w:val="20"/>
          <w:szCs w:val="20"/>
        </w:rPr>
        <w:t xml:space="preserve"> </w:t>
      </w:r>
      <w:r w:rsidRPr="00D64E04">
        <w:rPr>
          <w:rFonts w:asciiTheme="majorHAnsi" w:hAnsiTheme="majorHAnsi"/>
          <w:sz w:val="20"/>
          <w:szCs w:val="20"/>
        </w:rPr>
        <w:t xml:space="preserve">Participation </w:t>
      </w:r>
      <w:r>
        <w:rPr>
          <w:rFonts w:asciiTheme="majorHAnsi" w:hAnsiTheme="majorHAnsi"/>
          <w:sz w:val="20"/>
          <w:szCs w:val="20"/>
        </w:rPr>
        <w:t>i</w:t>
      </w:r>
      <w:r w:rsidRPr="00D64E04">
        <w:rPr>
          <w:rFonts w:asciiTheme="majorHAnsi" w:hAnsiTheme="majorHAnsi"/>
          <w:sz w:val="20"/>
          <w:szCs w:val="20"/>
        </w:rPr>
        <w:t xml:space="preserve">n Decision-Making </w:t>
      </w:r>
      <w:r>
        <w:rPr>
          <w:rFonts w:asciiTheme="majorHAnsi" w:hAnsiTheme="majorHAnsi"/>
          <w:sz w:val="20"/>
          <w:szCs w:val="20"/>
        </w:rPr>
        <w:t>and Access t</w:t>
      </w:r>
      <w:r w:rsidRPr="00D64E04">
        <w:rPr>
          <w:rFonts w:asciiTheme="majorHAnsi" w:hAnsiTheme="majorHAnsi"/>
          <w:sz w:val="20"/>
          <w:szCs w:val="20"/>
        </w:rPr>
        <w:t>o</w:t>
      </w:r>
      <w:r>
        <w:rPr>
          <w:rFonts w:asciiTheme="majorHAnsi" w:hAnsiTheme="majorHAnsi"/>
          <w:sz w:val="20"/>
          <w:szCs w:val="20"/>
        </w:rPr>
        <w:t xml:space="preserve"> Justice i</w:t>
      </w:r>
      <w:r w:rsidRPr="00D64E04">
        <w:rPr>
          <w:rFonts w:asciiTheme="majorHAnsi" w:hAnsiTheme="majorHAnsi"/>
          <w:sz w:val="20"/>
          <w:szCs w:val="20"/>
        </w:rPr>
        <w:t>n Environmental Matters</w:t>
      </w:r>
      <w:r>
        <w:rPr>
          <w:rFonts w:asciiTheme="majorHAnsi" w:hAnsiTheme="majorHAnsi"/>
          <w:sz w:val="20"/>
          <w:szCs w:val="20"/>
        </w:rPr>
        <w:t xml:space="preserve">, </w:t>
      </w:r>
      <w:r w:rsidRPr="002F7ECE">
        <w:rPr>
          <w:rFonts w:asciiTheme="majorHAnsi" w:hAnsiTheme="majorHAnsi"/>
          <w:sz w:val="20"/>
          <w:szCs w:val="20"/>
        </w:rPr>
        <w:t xml:space="preserve">38 </w:t>
      </w:r>
      <w:r>
        <w:rPr>
          <w:rFonts w:asciiTheme="majorHAnsi" w:hAnsiTheme="majorHAnsi"/>
          <w:sz w:val="20"/>
          <w:szCs w:val="20"/>
        </w:rPr>
        <w:t>ILM</w:t>
      </w:r>
      <w:r w:rsidRPr="002F7ECE">
        <w:rPr>
          <w:rFonts w:asciiTheme="majorHAnsi" w:hAnsiTheme="majorHAnsi"/>
          <w:sz w:val="20"/>
          <w:szCs w:val="20"/>
        </w:rPr>
        <w:t xml:space="preserve"> (1999)</w:t>
      </w:r>
      <w:r>
        <w:rPr>
          <w:rFonts w:asciiTheme="majorHAnsi" w:hAnsiTheme="majorHAnsi"/>
          <w:sz w:val="20"/>
          <w:szCs w:val="20"/>
        </w:rPr>
        <w:t xml:space="preserve"> 515.</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4607D13"/>
    <w:multiLevelType w:val="hybridMultilevel"/>
    <w:tmpl w:val="20EA3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8A1A90"/>
    <w:multiLevelType w:val="hybridMultilevel"/>
    <w:tmpl w:val="4712C950"/>
    <w:lvl w:ilvl="0" w:tplc="C08683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AC162B"/>
    <w:multiLevelType w:val="hybridMultilevel"/>
    <w:tmpl w:val="6EDC5A4A"/>
    <w:lvl w:ilvl="0" w:tplc="C08683A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TrackMoves/>
  <w:defaultTabStop w:val="720"/>
  <w:characterSpacingControl w:val="doNotCompress"/>
  <w:footnotePr>
    <w:footnote w:id="0"/>
    <w:footnote w:id="1"/>
  </w:footnotePr>
  <w:endnotePr>
    <w:endnote w:id="0"/>
    <w:endnote w:id="1"/>
  </w:endnotePr>
  <w:compat>
    <w:useFELayout/>
  </w:compat>
  <w:rsids>
    <w:rsidRoot w:val="006E043C"/>
    <w:rsid w:val="00017120"/>
    <w:rsid w:val="00023BB6"/>
    <w:rsid w:val="00024B2C"/>
    <w:rsid w:val="00034667"/>
    <w:rsid w:val="0004533F"/>
    <w:rsid w:val="0006225D"/>
    <w:rsid w:val="00067282"/>
    <w:rsid w:val="000A0D29"/>
    <w:rsid w:val="000A510E"/>
    <w:rsid w:val="000C705B"/>
    <w:rsid w:val="000E300D"/>
    <w:rsid w:val="0010216D"/>
    <w:rsid w:val="001132AC"/>
    <w:rsid w:val="001624B7"/>
    <w:rsid w:val="00164387"/>
    <w:rsid w:val="00181877"/>
    <w:rsid w:val="0019315C"/>
    <w:rsid w:val="001A519A"/>
    <w:rsid w:val="001B799B"/>
    <w:rsid w:val="001F16C3"/>
    <w:rsid w:val="001F4830"/>
    <w:rsid w:val="00211A75"/>
    <w:rsid w:val="002133BF"/>
    <w:rsid w:val="00236650"/>
    <w:rsid w:val="00244EDF"/>
    <w:rsid w:val="002707DB"/>
    <w:rsid w:val="002729E1"/>
    <w:rsid w:val="002974BD"/>
    <w:rsid w:val="002A2A4A"/>
    <w:rsid w:val="002B43D9"/>
    <w:rsid w:val="002C45D2"/>
    <w:rsid w:val="002D026B"/>
    <w:rsid w:val="002F7BC4"/>
    <w:rsid w:val="002F7ECE"/>
    <w:rsid w:val="00311C5E"/>
    <w:rsid w:val="0032001B"/>
    <w:rsid w:val="00350CF3"/>
    <w:rsid w:val="003B43B6"/>
    <w:rsid w:val="003E00EE"/>
    <w:rsid w:val="003E6925"/>
    <w:rsid w:val="003F5C74"/>
    <w:rsid w:val="00427FCC"/>
    <w:rsid w:val="004379A6"/>
    <w:rsid w:val="00443683"/>
    <w:rsid w:val="00456318"/>
    <w:rsid w:val="00456907"/>
    <w:rsid w:val="00466B2B"/>
    <w:rsid w:val="00470270"/>
    <w:rsid w:val="00497E5E"/>
    <w:rsid w:val="004A7E90"/>
    <w:rsid w:val="004C1682"/>
    <w:rsid w:val="004D06EB"/>
    <w:rsid w:val="004E483F"/>
    <w:rsid w:val="004F3F8C"/>
    <w:rsid w:val="0052337D"/>
    <w:rsid w:val="00523E9C"/>
    <w:rsid w:val="005406C1"/>
    <w:rsid w:val="00543935"/>
    <w:rsid w:val="005477CE"/>
    <w:rsid w:val="005839E7"/>
    <w:rsid w:val="00590F59"/>
    <w:rsid w:val="005A3D82"/>
    <w:rsid w:val="005F5A02"/>
    <w:rsid w:val="006043D4"/>
    <w:rsid w:val="00624630"/>
    <w:rsid w:val="00641AF7"/>
    <w:rsid w:val="006527F0"/>
    <w:rsid w:val="006538AB"/>
    <w:rsid w:val="0066318C"/>
    <w:rsid w:val="0067507B"/>
    <w:rsid w:val="006763E4"/>
    <w:rsid w:val="00681530"/>
    <w:rsid w:val="00685D99"/>
    <w:rsid w:val="006A5C59"/>
    <w:rsid w:val="006A5E9E"/>
    <w:rsid w:val="006B2845"/>
    <w:rsid w:val="006B35D4"/>
    <w:rsid w:val="006C4EE4"/>
    <w:rsid w:val="006C61C2"/>
    <w:rsid w:val="006D1E11"/>
    <w:rsid w:val="006E043C"/>
    <w:rsid w:val="00704DDD"/>
    <w:rsid w:val="0072692F"/>
    <w:rsid w:val="0073022E"/>
    <w:rsid w:val="007318FE"/>
    <w:rsid w:val="0076694D"/>
    <w:rsid w:val="0077054D"/>
    <w:rsid w:val="0078086C"/>
    <w:rsid w:val="00782E1D"/>
    <w:rsid w:val="007850C5"/>
    <w:rsid w:val="007975FB"/>
    <w:rsid w:val="00797ADE"/>
    <w:rsid w:val="007C2BCC"/>
    <w:rsid w:val="00844A10"/>
    <w:rsid w:val="00850580"/>
    <w:rsid w:val="00881D33"/>
    <w:rsid w:val="008A65D8"/>
    <w:rsid w:val="008B053E"/>
    <w:rsid w:val="008F7A9E"/>
    <w:rsid w:val="0091498A"/>
    <w:rsid w:val="00916400"/>
    <w:rsid w:val="009771D0"/>
    <w:rsid w:val="00985D6C"/>
    <w:rsid w:val="009A61D0"/>
    <w:rsid w:val="009B189F"/>
    <w:rsid w:val="009C1D9F"/>
    <w:rsid w:val="009D47DD"/>
    <w:rsid w:val="00A200DE"/>
    <w:rsid w:val="00A83BA2"/>
    <w:rsid w:val="00A93DA5"/>
    <w:rsid w:val="00AA193C"/>
    <w:rsid w:val="00AB1465"/>
    <w:rsid w:val="00AE2C66"/>
    <w:rsid w:val="00AF0986"/>
    <w:rsid w:val="00AF74EF"/>
    <w:rsid w:val="00B01E3B"/>
    <w:rsid w:val="00B14869"/>
    <w:rsid w:val="00B20AA2"/>
    <w:rsid w:val="00B3179C"/>
    <w:rsid w:val="00B339D9"/>
    <w:rsid w:val="00B45D5F"/>
    <w:rsid w:val="00B60A54"/>
    <w:rsid w:val="00B6134E"/>
    <w:rsid w:val="00B82166"/>
    <w:rsid w:val="00B95A97"/>
    <w:rsid w:val="00B95F5C"/>
    <w:rsid w:val="00BC0073"/>
    <w:rsid w:val="00BD04D3"/>
    <w:rsid w:val="00BD116B"/>
    <w:rsid w:val="00BD30AD"/>
    <w:rsid w:val="00BE217F"/>
    <w:rsid w:val="00BE7D5B"/>
    <w:rsid w:val="00C1135F"/>
    <w:rsid w:val="00C332D2"/>
    <w:rsid w:val="00C57C2F"/>
    <w:rsid w:val="00C60813"/>
    <w:rsid w:val="00C66A78"/>
    <w:rsid w:val="00C7321C"/>
    <w:rsid w:val="00C77B77"/>
    <w:rsid w:val="00CE2E98"/>
    <w:rsid w:val="00CE74B0"/>
    <w:rsid w:val="00CF14D1"/>
    <w:rsid w:val="00D01B99"/>
    <w:rsid w:val="00D154E9"/>
    <w:rsid w:val="00D271C3"/>
    <w:rsid w:val="00D46620"/>
    <w:rsid w:val="00D62E3B"/>
    <w:rsid w:val="00D64E04"/>
    <w:rsid w:val="00D67005"/>
    <w:rsid w:val="00DA70E7"/>
    <w:rsid w:val="00DC3252"/>
    <w:rsid w:val="00DD0240"/>
    <w:rsid w:val="00DF74E8"/>
    <w:rsid w:val="00E1129C"/>
    <w:rsid w:val="00E92CE8"/>
    <w:rsid w:val="00E95206"/>
    <w:rsid w:val="00EA4A91"/>
    <w:rsid w:val="00EE0554"/>
    <w:rsid w:val="00EF7EA3"/>
    <w:rsid w:val="00F06A66"/>
    <w:rsid w:val="00F170EA"/>
    <w:rsid w:val="00F24159"/>
    <w:rsid w:val="00F25EA7"/>
    <w:rsid w:val="00F33259"/>
    <w:rsid w:val="00F36F77"/>
    <w:rsid w:val="00F4123C"/>
    <w:rsid w:val="00F41253"/>
    <w:rsid w:val="00F57377"/>
    <w:rsid w:val="00F91EE9"/>
    <w:rsid w:val="00F922C8"/>
    <w:rsid w:val="00F93ADF"/>
    <w:rsid w:val="00F95867"/>
    <w:rsid w:val="00F96A0D"/>
    <w:rsid w:val="00FA5699"/>
    <w:rsid w:val="00FB69D6"/>
    <w:rsid w:val="00FB6F58"/>
  </w:rsids>
  <m:mathPr>
    <m:mathFont m:val="OUP Argo"/>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282"/>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unhideWhenUsed/>
    <w:rsid w:val="008F7A9E"/>
  </w:style>
  <w:style w:type="character" w:customStyle="1" w:styleId="FootnoteTextChar">
    <w:name w:val="Footnote Text Char"/>
    <w:basedOn w:val="DefaultParagraphFont"/>
    <w:link w:val="FootnoteText"/>
    <w:uiPriority w:val="99"/>
    <w:rsid w:val="008F7A9E"/>
    <w:rPr>
      <w:lang w:val="en-GB"/>
    </w:rPr>
  </w:style>
  <w:style w:type="character" w:styleId="FootnoteReference">
    <w:name w:val="footnote reference"/>
    <w:basedOn w:val="DefaultParagraphFont"/>
    <w:uiPriority w:val="99"/>
    <w:unhideWhenUsed/>
    <w:rsid w:val="008F7A9E"/>
    <w:rPr>
      <w:vertAlign w:val="superscript"/>
    </w:rPr>
  </w:style>
  <w:style w:type="paragraph" w:styleId="ListParagraph">
    <w:name w:val="List Paragraph"/>
    <w:basedOn w:val="Normal"/>
    <w:uiPriority w:val="34"/>
    <w:qFormat/>
    <w:rsid w:val="005A3D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F7A9E"/>
  </w:style>
  <w:style w:type="character" w:customStyle="1" w:styleId="FootnoteTextChar">
    <w:name w:val="Footnote Text Char"/>
    <w:basedOn w:val="DefaultParagraphFont"/>
    <w:link w:val="FootnoteText"/>
    <w:uiPriority w:val="99"/>
    <w:rsid w:val="008F7A9E"/>
    <w:rPr>
      <w:lang w:val="en-GB"/>
    </w:rPr>
  </w:style>
  <w:style w:type="character" w:styleId="FootnoteReference">
    <w:name w:val="footnote reference"/>
    <w:basedOn w:val="DefaultParagraphFont"/>
    <w:uiPriority w:val="99"/>
    <w:unhideWhenUsed/>
    <w:rsid w:val="008F7A9E"/>
    <w:rPr>
      <w:vertAlign w:val="superscript"/>
    </w:rPr>
  </w:style>
  <w:style w:type="paragraph" w:styleId="ListParagraph">
    <w:name w:val="List Paragraph"/>
    <w:basedOn w:val="Normal"/>
    <w:uiPriority w:val="34"/>
    <w:qFormat/>
    <w:rsid w:val="005A3D82"/>
    <w:pPr>
      <w:ind w:left="720"/>
      <w:contextualSpacing/>
    </w:pPr>
  </w:style>
</w:styles>
</file>

<file path=word/webSettings.xml><?xml version="1.0" encoding="utf-8"?>
<w:webSettings xmlns:r="http://schemas.openxmlformats.org/officeDocument/2006/relationships" xmlns:w="http://schemas.openxmlformats.org/wordprocessingml/2006/main">
  <w:divs>
    <w:div w:id="163666788">
      <w:bodyDiv w:val="1"/>
      <w:marLeft w:val="0"/>
      <w:marRight w:val="0"/>
      <w:marTop w:val="0"/>
      <w:marBottom w:val="0"/>
      <w:divBdr>
        <w:top w:val="none" w:sz="0" w:space="0" w:color="auto"/>
        <w:left w:val="none" w:sz="0" w:space="0" w:color="auto"/>
        <w:bottom w:val="none" w:sz="0" w:space="0" w:color="auto"/>
        <w:right w:val="none" w:sz="0" w:space="0" w:color="auto"/>
      </w:divBdr>
    </w:div>
    <w:div w:id="309286404">
      <w:bodyDiv w:val="1"/>
      <w:marLeft w:val="0"/>
      <w:marRight w:val="0"/>
      <w:marTop w:val="0"/>
      <w:marBottom w:val="0"/>
      <w:divBdr>
        <w:top w:val="none" w:sz="0" w:space="0" w:color="auto"/>
        <w:left w:val="none" w:sz="0" w:space="0" w:color="auto"/>
        <w:bottom w:val="none" w:sz="0" w:space="0" w:color="auto"/>
        <w:right w:val="none" w:sz="0" w:space="0" w:color="auto"/>
      </w:divBdr>
    </w:div>
    <w:div w:id="18583436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1370</Words>
  <Characters>7812</Characters>
  <Application>Microsoft Word 12.0.0</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Bruce</dc:creator>
  <cp:lastModifiedBy>Jessica Dorsey</cp:lastModifiedBy>
  <cp:revision>2</cp:revision>
  <dcterms:created xsi:type="dcterms:W3CDTF">2012-07-13T16:53:00Z</dcterms:created>
  <dcterms:modified xsi:type="dcterms:W3CDTF">2012-07-13T16:53:00Z</dcterms:modified>
</cp:coreProperties>
</file>