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DCCC64" w14:textId="77777777" w:rsidR="00F26F4C" w:rsidRPr="00CF3D9A" w:rsidRDefault="005131BB">
      <w:pPr>
        <w:rPr>
          <w:sz w:val="24"/>
          <w:szCs w:val="24"/>
        </w:rPr>
      </w:pPr>
      <w:r w:rsidRPr="00CF3D9A">
        <w:rPr>
          <w:sz w:val="24"/>
          <w:szCs w:val="24"/>
        </w:rPr>
        <w:t>US Amicus Brief in the Haiti Cholera Case</w:t>
      </w:r>
      <w:r w:rsidR="00826073">
        <w:rPr>
          <w:sz w:val="24"/>
          <w:szCs w:val="24"/>
        </w:rPr>
        <w:t xml:space="preserve"> &amp; Forthcoming Article</w:t>
      </w:r>
    </w:p>
    <w:p w14:paraId="3899F7DD" w14:textId="77777777" w:rsidR="005131BB" w:rsidRPr="00CF3D9A" w:rsidRDefault="005131BB">
      <w:pPr>
        <w:rPr>
          <w:sz w:val="24"/>
          <w:szCs w:val="24"/>
        </w:rPr>
      </w:pPr>
    </w:p>
    <w:p w14:paraId="05C6A378" w14:textId="77777777" w:rsidR="005131BB" w:rsidRPr="00CF3D9A" w:rsidRDefault="005131BB">
      <w:pPr>
        <w:rPr>
          <w:sz w:val="24"/>
          <w:szCs w:val="24"/>
        </w:rPr>
      </w:pPr>
      <w:r w:rsidRPr="00CF3D9A">
        <w:rPr>
          <w:sz w:val="24"/>
          <w:szCs w:val="24"/>
        </w:rPr>
        <w:t>If you haven’t seen it yet, the US filed its amicus brief in the Haiti Cholera appeal.  The brief is available h</w:t>
      </w:r>
      <w:r w:rsidR="00A151E7" w:rsidRPr="00CF3D9A">
        <w:rPr>
          <w:sz w:val="24"/>
          <w:szCs w:val="24"/>
        </w:rPr>
        <w:t>ere.  Predictably, the brief</w:t>
      </w:r>
      <w:r w:rsidRPr="00CF3D9A">
        <w:rPr>
          <w:sz w:val="24"/>
          <w:szCs w:val="24"/>
        </w:rPr>
        <w:t xml:space="preserve"> makes the case for absolute UN immunity</w:t>
      </w:r>
      <w:r w:rsidR="00A151E7" w:rsidRPr="00CF3D9A">
        <w:rPr>
          <w:sz w:val="24"/>
          <w:szCs w:val="24"/>
        </w:rPr>
        <w:t xml:space="preserve">, and </w:t>
      </w:r>
      <w:proofErr w:type="gramStart"/>
      <w:r w:rsidR="00A151E7" w:rsidRPr="00CF3D9A">
        <w:rPr>
          <w:sz w:val="24"/>
          <w:szCs w:val="24"/>
        </w:rPr>
        <w:t xml:space="preserve">advances </w:t>
      </w:r>
      <w:r w:rsidR="00CF3D9A" w:rsidRPr="00CF3D9A">
        <w:rPr>
          <w:sz w:val="24"/>
          <w:szCs w:val="24"/>
        </w:rPr>
        <w:t xml:space="preserve"> largely</w:t>
      </w:r>
      <w:proofErr w:type="gramEnd"/>
      <w:r w:rsidR="00CF3D9A" w:rsidRPr="00CF3D9A">
        <w:rPr>
          <w:sz w:val="24"/>
          <w:szCs w:val="24"/>
        </w:rPr>
        <w:t xml:space="preserve"> </w:t>
      </w:r>
      <w:r w:rsidR="00A151E7" w:rsidRPr="00CF3D9A">
        <w:rPr>
          <w:sz w:val="24"/>
          <w:szCs w:val="24"/>
        </w:rPr>
        <w:t>the same</w:t>
      </w:r>
      <w:r w:rsidRPr="00CF3D9A">
        <w:rPr>
          <w:sz w:val="24"/>
          <w:szCs w:val="24"/>
        </w:rPr>
        <w:t xml:space="preserve"> arguments </w:t>
      </w:r>
      <w:r w:rsidR="00CF3D9A">
        <w:rPr>
          <w:sz w:val="24"/>
          <w:szCs w:val="24"/>
        </w:rPr>
        <w:t>put forward in prior filings</w:t>
      </w:r>
      <w:r w:rsidRPr="00CF3D9A">
        <w:rPr>
          <w:sz w:val="24"/>
          <w:szCs w:val="24"/>
        </w:rPr>
        <w:t>.</w:t>
      </w:r>
    </w:p>
    <w:p w14:paraId="3079DF54" w14:textId="77777777" w:rsidR="00A151E7" w:rsidRPr="00CF3D9A" w:rsidRDefault="00A151E7">
      <w:pPr>
        <w:rPr>
          <w:sz w:val="24"/>
          <w:szCs w:val="24"/>
        </w:rPr>
      </w:pPr>
      <w:r w:rsidRPr="00CF3D9A">
        <w:rPr>
          <w:sz w:val="24"/>
          <w:szCs w:val="24"/>
        </w:rPr>
        <w:t xml:space="preserve">And yet, there are a number of powerful counterarguments to the position put </w:t>
      </w:r>
      <w:r w:rsidR="00CF3D9A" w:rsidRPr="00CF3D9A">
        <w:rPr>
          <w:sz w:val="24"/>
          <w:szCs w:val="24"/>
        </w:rPr>
        <w:t>forward by the US government.</w:t>
      </w:r>
      <w:r w:rsidRPr="00CF3D9A">
        <w:rPr>
          <w:sz w:val="24"/>
          <w:szCs w:val="24"/>
        </w:rPr>
        <w:t xml:space="preserve"> </w:t>
      </w:r>
    </w:p>
    <w:p w14:paraId="4E795DDA" w14:textId="77777777" w:rsidR="00A151E7" w:rsidRPr="00CF3D9A" w:rsidRDefault="00A151E7" w:rsidP="00A151E7">
      <w:pPr>
        <w:pStyle w:val="ListParagraph"/>
        <w:numPr>
          <w:ilvl w:val="0"/>
          <w:numId w:val="1"/>
        </w:numPr>
        <w:rPr>
          <w:sz w:val="24"/>
          <w:szCs w:val="24"/>
        </w:rPr>
      </w:pPr>
      <w:r w:rsidRPr="00CF3D9A">
        <w:rPr>
          <w:sz w:val="24"/>
          <w:szCs w:val="24"/>
        </w:rPr>
        <w:t>At the time the Convention on Privileges and Immunities of the UN (CPIUN) was drafted, the whole field of privileges and immunities of IOs was largely “uncharted territory,” and founding States projected what immunities they thought the UN would need with little information from practice;</w:t>
      </w:r>
    </w:p>
    <w:p w14:paraId="211240D9" w14:textId="77777777" w:rsidR="00A151E7" w:rsidRPr="00CF3D9A" w:rsidRDefault="00A151E7" w:rsidP="00A151E7">
      <w:pPr>
        <w:pStyle w:val="ListParagraph"/>
        <w:numPr>
          <w:ilvl w:val="0"/>
          <w:numId w:val="1"/>
        </w:numPr>
        <w:rPr>
          <w:sz w:val="24"/>
          <w:szCs w:val="24"/>
        </w:rPr>
      </w:pPr>
      <w:r w:rsidRPr="00CF3D9A">
        <w:rPr>
          <w:sz w:val="24"/>
          <w:szCs w:val="24"/>
        </w:rPr>
        <w:t>The legislative history of the CPIUN confirms that the biggest fear of UN founding states was the threat of a member state trying to control the UN, not classes of private plaintiffs bringing torts cases against the Organization;</w:t>
      </w:r>
    </w:p>
    <w:p w14:paraId="544E97B4" w14:textId="5D7C3BAD" w:rsidR="005131BB" w:rsidRDefault="00A151E7" w:rsidP="00A151E7">
      <w:pPr>
        <w:pStyle w:val="ListParagraph"/>
        <w:numPr>
          <w:ilvl w:val="0"/>
          <w:numId w:val="1"/>
        </w:numPr>
        <w:rPr>
          <w:sz w:val="24"/>
          <w:szCs w:val="24"/>
        </w:rPr>
      </w:pPr>
      <w:r w:rsidRPr="00CF3D9A">
        <w:rPr>
          <w:sz w:val="24"/>
          <w:szCs w:val="24"/>
        </w:rPr>
        <w:t>Article 105 of the UN Charter limits the Organization’s immunities before national courts to w</w:t>
      </w:r>
      <w:r w:rsidR="0098077F">
        <w:rPr>
          <w:sz w:val="24"/>
          <w:szCs w:val="24"/>
        </w:rPr>
        <w:t xml:space="preserve">hat are functionally necessary, and under </w:t>
      </w:r>
      <w:r w:rsidR="00C14686">
        <w:rPr>
          <w:sz w:val="24"/>
          <w:szCs w:val="24"/>
        </w:rPr>
        <w:t xml:space="preserve">Article 103, the Charter trumps </w:t>
      </w:r>
      <w:r w:rsidR="00631095">
        <w:rPr>
          <w:sz w:val="24"/>
          <w:szCs w:val="24"/>
        </w:rPr>
        <w:t>conflicting treaties, arguably including the broader language of the CPIUN;</w:t>
      </w:r>
    </w:p>
    <w:p w14:paraId="661EAA2E" w14:textId="77777777" w:rsidR="0098077F" w:rsidRPr="00C14686" w:rsidRDefault="0098077F" w:rsidP="0098077F">
      <w:pPr>
        <w:pStyle w:val="ListParagraph"/>
        <w:numPr>
          <w:ilvl w:val="0"/>
          <w:numId w:val="1"/>
        </w:numPr>
        <w:rPr>
          <w:sz w:val="24"/>
          <w:szCs w:val="24"/>
        </w:rPr>
      </w:pPr>
      <w:r w:rsidRPr="00CF3D9A">
        <w:rPr>
          <w:sz w:val="24"/>
          <w:szCs w:val="24"/>
        </w:rPr>
        <w:t xml:space="preserve">The justification for absolute UN </w:t>
      </w:r>
      <w:r w:rsidRPr="00CF3D9A">
        <w:rPr>
          <w:color w:val="000000"/>
          <w:sz w:val="24"/>
          <w:szCs w:val="24"/>
        </w:rPr>
        <w:t xml:space="preserve">immunity is an exception to ordinary principles of responsibility, </w:t>
      </w:r>
      <w:r w:rsidR="00826073">
        <w:rPr>
          <w:color w:val="000000"/>
          <w:sz w:val="24"/>
          <w:szCs w:val="24"/>
        </w:rPr>
        <w:t>and immunity cannot be a shield against responsibility;</w:t>
      </w:r>
    </w:p>
    <w:p w14:paraId="4173A617" w14:textId="53425C4D" w:rsidR="00C14686" w:rsidRDefault="00826073" w:rsidP="0098077F">
      <w:pPr>
        <w:pStyle w:val="ListParagraph"/>
        <w:numPr>
          <w:ilvl w:val="0"/>
          <w:numId w:val="1"/>
        </w:numPr>
        <w:rPr>
          <w:sz w:val="24"/>
          <w:szCs w:val="24"/>
        </w:rPr>
      </w:pPr>
      <w:r>
        <w:rPr>
          <w:sz w:val="24"/>
          <w:szCs w:val="24"/>
        </w:rPr>
        <w:t>Although set</w:t>
      </w:r>
      <w:r w:rsidR="00631095">
        <w:rPr>
          <w:sz w:val="24"/>
          <w:szCs w:val="24"/>
        </w:rPr>
        <w:t>tling claims might place a considerable</w:t>
      </w:r>
      <w:r>
        <w:rPr>
          <w:sz w:val="24"/>
          <w:szCs w:val="24"/>
        </w:rPr>
        <w:t xml:space="preserve"> financial burden on the Organization, the UN could purchase liability insurance to cover itself against large claims;</w:t>
      </w:r>
    </w:p>
    <w:p w14:paraId="0CB7921B" w14:textId="70DD953D" w:rsidR="00826073" w:rsidRPr="00CF3D9A" w:rsidRDefault="00631095" w:rsidP="0098077F">
      <w:pPr>
        <w:pStyle w:val="ListParagraph"/>
        <w:numPr>
          <w:ilvl w:val="0"/>
          <w:numId w:val="1"/>
        </w:numPr>
        <w:rPr>
          <w:sz w:val="24"/>
          <w:szCs w:val="24"/>
        </w:rPr>
      </w:pPr>
      <w:r>
        <w:rPr>
          <w:sz w:val="24"/>
          <w:szCs w:val="24"/>
        </w:rPr>
        <w:t>The concern that Troop Contributing Countries will be deterred from cooperating with the UN if it has anything less than absolute immunity has no empirical support.  In fact, what appears to be of far more concern to TCCs is the expansion of “robust” peacekeeping missions in which peacekeepers have an offensive mandate.</w:t>
      </w:r>
      <w:r w:rsidR="00D53628">
        <w:rPr>
          <w:sz w:val="24"/>
          <w:szCs w:val="24"/>
        </w:rPr>
        <w:t xml:space="preserve">  </w:t>
      </w:r>
    </w:p>
    <w:p w14:paraId="796CCFCD" w14:textId="77777777" w:rsidR="0098077F" w:rsidRPr="00CF3D9A" w:rsidRDefault="0098077F" w:rsidP="0098077F">
      <w:pPr>
        <w:pStyle w:val="ListParagraph"/>
        <w:ind w:left="765"/>
        <w:rPr>
          <w:sz w:val="24"/>
          <w:szCs w:val="24"/>
        </w:rPr>
      </w:pPr>
    </w:p>
    <w:p w14:paraId="5E6CDBF0" w14:textId="77777777" w:rsidR="00050998" w:rsidRDefault="00050998">
      <w:pPr>
        <w:rPr>
          <w:sz w:val="24"/>
          <w:szCs w:val="24"/>
        </w:rPr>
      </w:pPr>
      <w:r>
        <w:rPr>
          <w:sz w:val="24"/>
          <w:szCs w:val="24"/>
        </w:rPr>
        <w:t>As a result, although the UN’s immunities are clearly very broad, there is a very strong argument they are not absolute.    UN member states should join the conversation about what immunities mean to the UN today given its contemporary mandate and impact on individuals.  If they don’t, there may be consequences for the UN that disadvantages its future work.</w:t>
      </w:r>
    </w:p>
    <w:p w14:paraId="113E78C2" w14:textId="77777777" w:rsidR="005131BB" w:rsidRPr="00CF3D9A" w:rsidRDefault="005131BB">
      <w:pPr>
        <w:rPr>
          <w:sz w:val="24"/>
          <w:szCs w:val="24"/>
        </w:rPr>
      </w:pPr>
      <w:r w:rsidRPr="00CF3D9A">
        <w:rPr>
          <w:sz w:val="24"/>
          <w:szCs w:val="24"/>
        </w:rPr>
        <w:t>These arguments are advanced in my forthcoming article in the Chicago Journal of International Law</w:t>
      </w:r>
      <w:r w:rsidR="00A151E7" w:rsidRPr="00CF3D9A">
        <w:rPr>
          <w:sz w:val="24"/>
          <w:szCs w:val="24"/>
        </w:rPr>
        <w:t xml:space="preserve"> on the Haiti Cholera Case.    For an early</w:t>
      </w:r>
      <w:r w:rsidRPr="00CF3D9A">
        <w:rPr>
          <w:sz w:val="24"/>
          <w:szCs w:val="24"/>
        </w:rPr>
        <w:t xml:space="preserve"> copy, please drop me a line.    </w:t>
      </w:r>
      <w:bookmarkStart w:id="0" w:name="_GoBack"/>
      <w:bookmarkEnd w:id="0"/>
    </w:p>
    <w:sectPr w:rsidR="005131BB" w:rsidRPr="00CF3D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343E9D" w14:textId="77777777" w:rsidR="00631095" w:rsidRDefault="00631095" w:rsidP="00A151E7">
      <w:pPr>
        <w:spacing w:after="0" w:line="240" w:lineRule="auto"/>
      </w:pPr>
      <w:r>
        <w:separator/>
      </w:r>
    </w:p>
  </w:endnote>
  <w:endnote w:type="continuationSeparator" w:id="0">
    <w:p w14:paraId="68651F9B" w14:textId="77777777" w:rsidR="00631095" w:rsidRDefault="00631095" w:rsidP="00A15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AB538A" w14:textId="77777777" w:rsidR="00631095" w:rsidRDefault="00631095" w:rsidP="00A151E7">
      <w:pPr>
        <w:spacing w:after="0" w:line="240" w:lineRule="auto"/>
      </w:pPr>
      <w:r>
        <w:separator/>
      </w:r>
    </w:p>
  </w:footnote>
  <w:footnote w:type="continuationSeparator" w:id="0">
    <w:p w14:paraId="218EF6A7" w14:textId="77777777" w:rsidR="00631095" w:rsidRDefault="00631095" w:rsidP="00A151E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E44164"/>
    <w:multiLevelType w:val="hybridMultilevel"/>
    <w:tmpl w:val="CCD24BB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1BB"/>
    <w:rsid w:val="00050998"/>
    <w:rsid w:val="005131BB"/>
    <w:rsid w:val="00631095"/>
    <w:rsid w:val="007D5AD3"/>
    <w:rsid w:val="00826073"/>
    <w:rsid w:val="0098077F"/>
    <w:rsid w:val="00A1340D"/>
    <w:rsid w:val="00A151E7"/>
    <w:rsid w:val="00C14686"/>
    <w:rsid w:val="00CF3D9A"/>
    <w:rsid w:val="00D53628"/>
    <w:rsid w:val="00F26F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19E4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1E7"/>
    <w:pPr>
      <w:ind w:left="720"/>
      <w:contextualSpacing/>
    </w:pPr>
  </w:style>
  <w:style w:type="paragraph" w:styleId="FootnoteText">
    <w:name w:val="footnote text"/>
    <w:basedOn w:val="Normal"/>
    <w:link w:val="FootnoteTextChar"/>
    <w:uiPriority w:val="99"/>
    <w:unhideWhenUsed/>
    <w:rsid w:val="00A151E7"/>
    <w:pPr>
      <w:spacing w:after="0" w:line="240" w:lineRule="auto"/>
    </w:pPr>
    <w:rPr>
      <w:rFonts w:ascii="Calibri" w:eastAsia="Calibri" w:hAnsi="Calibri" w:cs="Times New Roman"/>
      <w:sz w:val="24"/>
      <w:szCs w:val="24"/>
    </w:rPr>
  </w:style>
  <w:style w:type="character" w:customStyle="1" w:styleId="FootnoteTextChar">
    <w:name w:val="Footnote Text Char"/>
    <w:basedOn w:val="DefaultParagraphFont"/>
    <w:link w:val="FootnoteText"/>
    <w:uiPriority w:val="99"/>
    <w:rsid w:val="00A151E7"/>
    <w:rPr>
      <w:rFonts w:ascii="Calibri" w:eastAsia="Calibri" w:hAnsi="Calibri" w:cs="Times New Roman"/>
      <w:sz w:val="24"/>
      <w:szCs w:val="24"/>
    </w:rPr>
  </w:style>
  <w:style w:type="character" w:styleId="FootnoteReference">
    <w:name w:val="footnote reference"/>
    <w:uiPriority w:val="99"/>
    <w:unhideWhenUsed/>
    <w:rsid w:val="00A151E7"/>
    <w:rPr>
      <w:vertAlign w:val="superscript"/>
    </w:rPr>
  </w:style>
  <w:style w:type="character" w:styleId="Hyperlink">
    <w:name w:val="Hyperlink"/>
    <w:uiPriority w:val="99"/>
    <w:unhideWhenUsed/>
    <w:rsid w:val="00A151E7"/>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1E7"/>
    <w:pPr>
      <w:ind w:left="720"/>
      <w:contextualSpacing/>
    </w:pPr>
  </w:style>
  <w:style w:type="paragraph" w:styleId="FootnoteText">
    <w:name w:val="footnote text"/>
    <w:basedOn w:val="Normal"/>
    <w:link w:val="FootnoteTextChar"/>
    <w:uiPriority w:val="99"/>
    <w:unhideWhenUsed/>
    <w:rsid w:val="00A151E7"/>
    <w:pPr>
      <w:spacing w:after="0" w:line="240" w:lineRule="auto"/>
    </w:pPr>
    <w:rPr>
      <w:rFonts w:ascii="Calibri" w:eastAsia="Calibri" w:hAnsi="Calibri" w:cs="Times New Roman"/>
      <w:sz w:val="24"/>
      <w:szCs w:val="24"/>
    </w:rPr>
  </w:style>
  <w:style w:type="character" w:customStyle="1" w:styleId="FootnoteTextChar">
    <w:name w:val="Footnote Text Char"/>
    <w:basedOn w:val="DefaultParagraphFont"/>
    <w:link w:val="FootnoteText"/>
    <w:uiPriority w:val="99"/>
    <w:rsid w:val="00A151E7"/>
    <w:rPr>
      <w:rFonts w:ascii="Calibri" w:eastAsia="Calibri" w:hAnsi="Calibri" w:cs="Times New Roman"/>
      <w:sz w:val="24"/>
      <w:szCs w:val="24"/>
    </w:rPr>
  </w:style>
  <w:style w:type="character" w:styleId="FootnoteReference">
    <w:name w:val="footnote reference"/>
    <w:uiPriority w:val="99"/>
    <w:unhideWhenUsed/>
    <w:rsid w:val="00A151E7"/>
    <w:rPr>
      <w:vertAlign w:val="superscript"/>
    </w:rPr>
  </w:style>
  <w:style w:type="character" w:styleId="Hyperlink">
    <w:name w:val="Hyperlink"/>
    <w:uiPriority w:val="99"/>
    <w:unhideWhenUsed/>
    <w:rsid w:val="00A151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354</Words>
  <Characters>2023</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Boon</dc:creator>
  <cp:keywords/>
  <dc:description/>
  <cp:lastModifiedBy>Kristen Boon</cp:lastModifiedBy>
  <cp:revision>4</cp:revision>
  <dcterms:created xsi:type="dcterms:W3CDTF">2015-09-10T20:45:00Z</dcterms:created>
  <dcterms:modified xsi:type="dcterms:W3CDTF">2015-09-22T16:22:00Z</dcterms:modified>
</cp:coreProperties>
</file>