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D12153" w14:textId="4EE6394F" w:rsidR="006C0277" w:rsidRDefault="006C0277" w:rsidP="006C0277">
      <w:r>
        <w:rPr>
          <w:b/>
          <w:u w:val="single"/>
        </w:rPr>
        <w:t xml:space="preserve">Haiti Cholera Case:  Appeal Launched </w:t>
      </w:r>
    </w:p>
    <w:p w14:paraId="09F85D2C" w14:textId="77777777" w:rsidR="006C0277" w:rsidRDefault="006C0277" w:rsidP="006C0277">
      <w:r>
        <w:tab/>
      </w:r>
    </w:p>
    <w:p w14:paraId="7D94C6F5" w14:textId="7A757CD6" w:rsidR="006C0277" w:rsidRDefault="006C0277" w:rsidP="00C30EB5">
      <w:pPr>
        <w:rPr>
          <w:rFonts w:ascii="Times New Roman" w:hAnsi="Times New Roman" w:cs="Times New Roman"/>
        </w:rPr>
      </w:pPr>
      <w:r w:rsidRPr="00381FAC">
        <w:rPr>
          <w:rFonts w:ascii="Times New Roman" w:hAnsi="Times New Roman" w:cs="Times New Roman"/>
        </w:rPr>
        <w:tab/>
      </w:r>
      <w:r>
        <w:rPr>
          <w:rFonts w:ascii="Times New Roman" w:hAnsi="Times New Roman" w:cs="Times New Roman"/>
        </w:rPr>
        <w:t xml:space="preserve">Plaintiffs have appealed </w:t>
      </w:r>
      <w:r w:rsidRPr="00381FAC">
        <w:rPr>
          <w:rFonts w:ascii="Times New Roman" w:hAnsi="Times New Roman" w:cs="Times New Roman"/>
        </w:rPr>
        <w:t xml:space="preserve">the </w:t>
      </w:r>
      <w:r>
        <w:rPr>
          <w:rFonts w:ascii="Times New Roman" w:hAnsi="Times New Roman" w:cs="Times New Roman"/>
        </w:rPr>
        <w:t>January 9, 2015 decision of the</w:t>
      </w:r>
      <w:r w:rsidRPr="00381FAC">
        <w:rPr>
          <w:rFonts w:ascii="Times New Roman" w:hAnsi="Times New Roman" w:cs="Times New Roman"/>
        </w:rPr>
        <w:t xml:space="preserve"> Southern District of New York, </w:t>
      </w:r>
      <w:r>
        <w:rPr>
          <w:rFonts w:ascii="Times New Roman" w:hAnsi="Times New Roman" w:cs="Times New Roman"/>
        </w:rPr>
        <w:t>that the United Nations is</w:t>
      </w:r>
      <w:r w:rsidRPr="00381FAC">
        <w:rPr>
          <w:rFonts w:ascii="Times New Roman" w:hAnsi="Times New Roman" w:cs="Times New Roman"/>
        </w:rPr>
        <w:t xml:space="preserve"> immune</w:t>
      </w:r>
      <w:r>
        <w:rPr>
          <w:rFonts w:ascii="Times New Roman" w:hAnsi="Times New Roman" w:cs="Times New Roman"/>
        </w:rPr>
        <w:t xml:space="preserve"> in the so-called Haiti Cholera case (</w:t>
      </w:r>
      <w:proofErr w:type="spellStart"/>
      <w:r w:rsidRPr="00381FAC">
        <w:rPr>
          <w:rFonts w:ascii="Times New Roman" w:hAnsi="Times New Roman" w:cs="Times New Roman"/>
          <w:i/>
        </w:rPr>
        <w:t>Delama</w:t>
      </w:r>
      <w:proofErr w:type="spellEnd"/>
      <w:r w:rsidRPr="00381FAC">
        <w:rPr>
          <w:rFonts w:ascii="Times New Roman" w:hAnsi="Times New Roman" w:cs="Times New Roman"/>
          <w:i/>
        </w:rPr>
        <w:t xml:space="preserve"> Georges et al</w:t>
      </w:r>
      <w:r w:rsidR="00C30EB5">
        <w:rPr>
          <w:rFonts w:ascii="Times New Roman" w:hAnsi="Times New Roman" w:cs="Times New Roman"/>
          <w:i/>
        </w:rPr>
        <w:t xml:space="preserve">). </w:t>
      </w:r>
      <w:r w:rsidR="00C30EB5">
        <w:rPr>
          <w:rFonts w:ascii="Times New Roman" w:hAnsi="Times New Roman" w:cs="Times New Roman"/>
        </w:rPr>
        <w:t xml:space="preserve"> </w:t>
      </w:r>
      <w:r>
        <w:rPr>
          <w:rFonts w:ascii="Times New Roman" w:hAnsi="Times New Roman" w:cs="Times New Roman"/>
        </w:rPr>
        <w:t xml:space="preserve">The appeal brief, available here, was </w:t>
      </w:r>
      <w:r w:rsidRPr="00381FAC">
        <w:rPr>
          <w:rFonts w:ascii="Times New Roman" w:hAnsi="Times New Roman" w:cs="Times New Roman"/>
        </w:rPr>
        <w:t>filed</w:t>
      </w:r>
      <w:r>
        <w:rPr>
          <w:rFonts w:ascii="Times New Roman" w:hAnsi="Times New Roman" w:cs="Times New Roman"/>
        </w:rPr>
        <w:t xml:space="preserve"> on</w:t>
      </w:r>
      <w:r w:rsidRPr="00381FAC">
        <w:rPr>
          <w:rFonts w:ascii="Times New Roman" w:hAnsi="Times New Roman" w:cs="Times New Roman"/>
        </w:rPr>
        <w:t xml:space="preserve"> May 27,</w:t>
      </w:r>
      <w:r>
        <w:rPr>
          <w:rFonts w:ascii="Times New Roman" w:hAnsi="Times New Roman" w:cs="Times New Roman"/>
        </w:rPr>
        <w:t xml:space="preserve"> 2015.</w:t>
      </w:r>
      <w:r w:rsidRPr="00381FAC">
        <w:rPr>
          <w:rFonts w:ascii="Times New Roman" w:hAnsi="Times New Roman" w:cs="Times New Roman"/>
        </w:rPr>
        <w:t xml:space="preserve">  </w:t>
      </w:r>
    </w:p>
    <w:p w14:paraId="047FF448" w14:textId="77777777" w:rsidR="006C0277" w:rsidRDefault="006C0277" w:rsidP="006C0277">
      <w:pPr>
        <w:rPr>
          <w:rFonts w:ascii="Times New Roman" w:hAnsi="Times New Roman" w:cs="Times New Roman"/>
        </w:rPr>
      </w:pPr>
    </w:p>
    <w:p w14:paraId="651D1FCF" w14:textId="08431927" w:rsidR="006C0277" w:rsidRPr="006C0277" w:rsidRDefault="006C0277" w:rsidP="006C0277">
      <w:pPr>
        <w:ind w:firstLine="720"/>
        <w:rPr>
          <w:rFonts w:ascii="Times New Roman" w:hAnsi="Times New Roman" w:cs="Times New Roman"/>
        </w:rPr>
      </w:pPr>
      <w:r>
        <w:rPr>
          <w:rFonts w:ascii="Times New Roman" w:hAnsi="Times New Roman" w:cs="Times New Roman"/>
        </w:rPr>
        <w:t xml:space="preserve">Plaintiffs raise </w:t>
      </w:r>
      <w:r w:rsidRPr="00381FAC">
        <w:rPr>
          <w:rFonts w:ascii="Times New Roman" w:hAnsi="Times New Roman" w:cs="Times New Roman"/>
        </w:rPr>
        <w:t>three points of contention</w:t>
      </w:r>
      <w:r w:rsidR="00C30EB5">
        <w:rPr>
          <w:rFonts w:ascii="Times New Roman" w:hAnsi="Times New Roman" w:cs="Times New Roman"/>
        </w:rPr>
        <w:t xml:space="preserve"> on appeal</w:t>
      </w:r>
      <w:proofErr w:type="gramStart"/>
      <w:r>
        <w:rPr>
          <w:rFonts w:ascii="Times New Roman" w:hAnsi="Times New Roman" w:cs="Times New Roman"/>
        </w:rPr>
        <w:t xml:space="preserve">:  </w:t>
      </w:r>
      <w:r w:rsidRPr="00381FAC">
        <w:rPr>
          <w:rFonts w:ascii="Times New Roman" w:hAnsi="Times New Roman" w:cs="Times New Roman"/>
        </w:rPr>
        <w:t xml:space="preserve"> </w:t>
      </w:r>
      <w:proofErr w:type="gramEnd"/>
      <w:r>
        <w:rPr>
          <w:rFonts w:ascii="Times New Roman" w:hAnsi="Times New Roman" w:cs="Times New Roman"/>
        </w:rPr>
        <w:br/>
      </w:r>
    </w:p>
    <w:p w14:paraId="295A3479" w14:textId="2B66B0FA" w:rsidR="006C0277" w:rsidRPr="00381FAC" w:rsidRDefault="006C0277" w:rsidP="006C0277">
      <w:pPr>
        <w:widowControl w:val="0"/>
        <w:tabs>
          <w:tab w:val="left" w:pos="8550"/>
        </w:tabs>
        <w:autoSpaceDE w:val="0"/>
        <w:autoSpaceDN w:val="0"/>
        <w:adjustRightInd w:val="0"/>
        <w:spacing w:after="240"/>
        <w:ind w:left="1350" w:right="1260"/>
        <w:rPr>
          <w:rFonts w:ascii="Times New Roman" w:hAnsi="Times New Roman" w:cs="Times New Roman"/>
        </w:rPr>
      </w:pPr>
      <w:r w:rsidRPr="00381FAC">
        <w:rPr>
          <w:rFonts w:ascii="Times New Roman" w:hAnsi="Times New Roman" w:cs="Times New Roman"/>
        </w:rPr>
        <w:t>1. Whether the District Court erred in ruling that Defendants UN and MINUSTAH are entitled to immunity despite having violated their treaty obligation to provide a mod</w:t>
      </w:r>
      <w:r>
        <w:rPr>
          <w:rFonts w:ascii="Times New Roman" w:hAnsi="Times New Roman" w:cs="Times New Roman"/>
        </w:rPr>
        <w:t>e to settle private law claims</w:t>
      </w:r>
      <w:proofErr w:type="gramStart"/>
      <w:r>
        <w:rPr>
          <w:rFonts w:ascii="Times New Roman" w:hAnsi="Times New Roman" w:cs="Times New Roman"/>
        </w:rPr>
        <w:t>;</w:t>
      </w:r>
      <w:proofErr w:type="gramEnd"/>
    </w:p>
    <w:p w14:paraId="049BCB7F" w14:textId="446057C0" w:rsidR="006C0277" w:rsidRPr="00381FAC" w:rsidRDefault="006C0277" w:rsidP="006C0277">
      <w:pPr>
        <w:widowControl w:val="0"/>
        <w:tabs>
          <w:tab w:val="left" w:pos="8550"/>
        </w:tabs>
        <w:autoSpaceDE w:val="0"/>
        <w:autoSpaceDN w:val="0"/>
        <w:adjustRightInd w:val="0"/>
        <w:spacing w:after="240"/>
        <w:ind w:left="1350" w:right="1260"/>
        <w:rPr>
          <w:rFonts w:ascii="Times New Roman" w:hAnsi="Times New Roman" w:cs="Times New Roman"/>
        </w:rPr>
      </w:pPr>
      <w:r w:rsidRPr="00381FAC">
        <w:rPr>
          <w:rFonts w:ascii="Times New Roman" w:hAnsi="Times New Roman" w:cs="Times New Roman"/>
        </w:rPr>
        <w:t xml:space="preserve">2. Whether the District Court erred in ruling that Defendants Ban and </w:t>
      </w:r>
      <w:proofErr w:type="spellStart"/>
      <w:r w:rsidRPr="00381FAC">
        <w:rPr>
          <w:rFonts w:ascii="Times New Roman" w:hAnsi="Times New Roman" w:cs="Times New Roman"/>
        </w:rPr>
        <w:t>Mulet</w:t>
      </w:r>
      <w:proofErr w:type="spellEnd"/>
      <w:r w:rsidRPr="00381FAC">
        <w:rPr>
          <w:rFonts w:ascii="Times New Roman" w:hAnsi="Times New Roman" w:cs="Times New Roman"/>
        </w:rPr>
        <w:t xml:space="preserve"> are entitled to immunity in this case simply because </w:t>
      </w:r>
      <w:r>
        <w:rPr>
          <w:rFonts w:ascii="Times New Roman" w:hAnsi="Times New Roman" w:cs="Times New Roman"/>
        </w:rPr>
        <w:t>they “hold diplomatic positions</w:t>
      </w:r>
      <w:r w:rsidRPr="00381FAC">
        <w:rPr>
          <w:rFonts w:ascii="Times New Roman" w:hAnsi="Times New Roman" w:cs="Times New Roman"/>
        </w:rPr>
        <w:t>”</w:t>
      </w:r>
      <w:r>
        <w:rPr>
          <w:rFonts w:ascii="Times New Roman" w:hAnsi="Times New Roman" w:cs="Times New Roman"/>
        </w:rPr>
        <w:t>;</w:t>
      </w:r>
      <w:r w:rsidRPr="00381FAC">
        <w:rPr>
          <w:rFonts w:ascii="Times New Roman" w:hAnsi="Times New Roman" w:cs="Times New Roman"/>
        </w:rPr>
        <w:t xml:space="preserve"> </w:t>
      </w:r>
    </w:p>
    <w:p w14:paraId="67DA69D4" w14:textId="77777777" w:rsidR="006C0277" w:rsidRDefault="006C0277" w:rsidP="006C0277">
      <w:pPr>
        <w:widowControl w:val="0"/>
        <w:tabs>
          <w:tab w:val="left" w:pos="8550"/>
        </w:tabs>
        <w:autoSpaceDE w:val="0"/>
        <w:autoSpaceDN w:val="0"/>
        <w:adjustRightInd w:val="0"/>
        <w:spacing w:after="240"/>
        <w:ind w:left="1350" w:right="1260"/>
        <w:rPr>
          <w:rFonts w:ascii="Times New Roman" w:hAnsi="Times New Roman" w:cs="Times New Roman"/>
        </w:rPr>
      </w:pPr>
      <w:r w:rsidRPr="00381FAC">
        <w:rPr>
          <w:rFonts w:ascii="Times New Roman" w:hAnsi="Times New Roman" w:cs="Times New Roman"/>
        </w:rPr>
        <w:t>3. Whether the District Court erred in failing to address the U.S. Plaintiffs’ argument that granting immunity in this instance violates their constitutional right</w:t>
      </w:r>
      <w:r>
        <w:rPr>
          <w:rFonts w:ascii="Times New Roman" w:hAnsi="Times New Roman" w:cs="Times New Roman"/>
        </w:rPr>
        <w:t>s to access the federal courts.</w:t>
      </w:r>
    </w:p>
    <w:p w14:paraId="6BDF8F54" w14:textId="1DE6FB29" w:rsidR="008A2282" w:rsidRDefault="008A2282" w:rsidP="008A2282">
      <w:pPr>
        <w:widowControl w:val="0"/>
        <w:tabs>
          <w:tab w:val="left" w:pos="8550"/>
        </w:tabs>
        <w:autoSpaceDE w:val="0"/>
        <w:autoSpaceDN w:val="0"/>
        <w:adjustRightInd w:val="0"/>
        <w:spacing w:after="240"/>
        <w:ind w:firstLine="720"/>
        <w:rPr>
          <w:rFonts w:ascii="Times New Roman" w:hAnsi="Times New Roman" w:cs="Times New Roman"/>
        </w:rPr>
      </w:pPr>
      <w:r>
        <w:rPr>
          <w:rFonts w:ascii="Times New Roman" w:hAnsi="Times New Roman" w:cs="Times New Roman"/>
        </w:rPr>
        <w:t>The plaintiffs focus on</w:t>
      </w:r>
      <w:r w:rsidR="006C0277">
        <w:rPr>
          <w:rFonts w:ascii="Times New Roman" w:hAnsi="Times New Roman" w:cs="Times New Roman"/>
        </w:rPr>
        <w:t xml:space="preserve"> Sections 2 and 29 of the Convention on Privileges and Immunities of the UN (CPIUN).  The first sections grants immunity to the United Nations from all forms of legal process, while the latter provision requires the UN to settle private law disputes by alternative means.  As argued at the October</w:t>
      </w:r>
      <w:r w:rsidR="009206F1">
        <w:rPr>
          <w:rFonts w:ascii="Times New Roman" w:hAnsi="Times New Roman" w:cs="Times New Roman"/>
        </w:rPr>
        <w:t>, 2014</w:t>
      </w:r>
      <w:r w:rsidR="006C0277">
        <w:rPr>
          <w:rFonts w:ascii="Times New Roman" w:hAnsi="Times New Roman" w:cs="Times New Roman"/>
        </w:rPr>
        <w:t xml:space="preserve"> hearing, the plaintiffs contend that the United Nations and MINUSTAH have violated article 29 in failing to provide the plaintiffs with an alternative forum, and </w:t>
      </w:r>
      <w:r w:rsidR="009206F1">
        <w:rPr>
          <w:rFonts w:ascii="Times New Roman" w:hAnsi="Times New Roman" w:cs="Times New Roman"/>
        </w:rPr>
        <w:t xml:space="preserve">that </w:t>
      </w:r>
      <w:r w:rsidR="006C0277">
        <w:rPr>
          <w:rFonts w:ascii="Times New Roman" w:hAnsi="Times New Roman" w:cs="Times New Roman"/>
        </w:rPr>
        <w:t xml:space="preserve">this failure constitutes a material breach of the treaty.  </w:t>
      </w:r>
    </w:p>
    <w:p w14:paraId="3B6B13A3" w14:textId="056B2524" w:rsidR="006C0277" w:rsidRDefault="006C0277" w:rsidP="008A2282">
      <w:pPr>
        <w:widowControl w:val="0"/>
        <w:tabs>
          <w:tab w:val="left" w:pos="8550"/>
        </w:tabs>
        <w:autoSpaceDE w:val="0"/>
        <w:autoSpaceDN w:val="0"/>
        <w:adjustRightInd w:val="0"/>
        <w:spacing w:after="240"/>
        <w:ind w:firstLine="720"/>
        <w:rPr>
          <w:rFonts w:ascii="Times New Roman" w:hAnsi="Times New Roman" w:cs="Times New Roman"/>
        </w:rPr>
      </w:pPr>
      <w:r>
        <w:rPr>
          <w:rFonts w:ascii="Times New Roman" w:hAnsi="Times New Roman" w:cs="Times New Roman"/>
        </w:rPr>
        <w:t xml:space="preserve">The Plaintiffs also argue that the District Court erred when relying on the </w:t>
      </w:r>
      <w:proofErr w:type="spellStart"/>
      <w:r>
        <w:rPr>
          <w:rFonts w:ascii="Times New Roman" w:hAnsi="Times New Roman" w:cs="Times New Roman"/>
          <w:i/>
        </w:rPr>
        <w:t>Brzak</w:t>
      </w:r>
      <w:proofErr w:type="spellEnd"/>
      <w:r>
        <w:rPr>
          <w:rFonts w:ascii="Times New Roman" w:hAnsi="Times New Roman" w:cs="Times New Roman"/>
          <w:i/>
        </w:rPr>
        <w:t xml:space="preserve"> </w:t>
      </w:r>
      <w:r>
        <w:rPr>
          <w:rFonts w:ascii="Times New Roman" w:hAnsi="Times New Roman" w:cs="Times New Roman"/>
        </w:rPr>
        <w:t xml:space="preserve">case, because </w:t>
      </w:r>
      <w:r w:rsidR="009206F1" w:rsidRPr="009206F1">
        <w:rPr>
          <w:rFonts w:ascii="Times New Roman" w:hAnsi="Times New Roman" w:cs="Times New Roman"/>
        </w:rPr>
        <w:t>it</w:t>
      </w:r>
      <w:r w:rsidR="009206F1">
        <w:rPr>
          <w:rFonts w:ascii="Times New Roman" w:hAnsi="Times New Roman" w:cs="Times New Roman"/>
          <w:i/>
        </w:rPr>
        <w:t xml:space="preserve"> </w:t>
      </w:r>
      <w:r>
        <w:rPr>
          <w:rFonts w:ascii="Times New Roman" w:hAnsi="Times New Roman" w:cs="Times New Roman"/>
        </w:rPr>
        <w:t>does not mention a breach of section 29 of the CPIUN. The Plaintiffs also contend that granting immunity in this case vi</w:t>
      </w:r>
      <w:r w:rsidR="008A2282">
        <w:rPr>
          <w:rFonts w:ascii="Times New Roman" w:hAnsi="Times New Roman" w:cs="Times New Roman"/>
        </w:rPr>
        <w:t>olates the constitutional right</w:t>
      </w:r>
      <w:r>
        <w:rPr>
          <w:rFonts w:ascii="Times New Roman" w:hAnsi="Times New Roman" w:cs="Times New Roman"/>
        </w:rPr>
        <w:t xml:space="preserve"> of a U.S. citizen plaintiff to have access to the courts. The plaintiff’s brief </w:t>
      </w:r>
      <w:proofErr w:type="gramStart"/>
      <w:r>
        <w:rPr>
          <w:rFonts w:ascii="Times New Roman" w:hAnsi="Times New Roman" w:cs="Times New Roman"/>
        </w:rPr>
        <w:t>states that</w:t>
      </w:r>
      <w:proofErr w:type="gramEnd"/>
      <w:r>
        <w:rPr>
          <w:rFonts w:ascii="Times New Roman" w:hAnsi="Times New Roman" w:cs="Times New Roman"/>
        </w:rPr>
        <w:t xml:space="preserve"> “granting immunity in this case impermissibly infringes on the right [of the plaintiff], which includes the right to bring a well-pleaded civil lawsuit for recognizing causes of action”. </w:t>
      </w:r>
    </w:p>
    <w:p w14:paraId="593B3007" w14:textId="08F6D296" w:rsidR="006C0277" w:rsidRDefault="006C0277" w:rsidP="006C0277">
      <w:pPr>
        <w:widowControl w:val="0"/>
        <w:tabs>
          <w:tab w:val="left" w:pos="8550"/>
        </w:tabs>
        <w:autoSpaceDE w:val="0"/>
        <w:autoSpaceDN w:val="0"/>
        <w:adjustRightInd w:val="0"/>
        <w:spacing w:after="240"/>
        <w:ind w:firstLine="720"/>
        <w:rPr>
          <w:rFonts w:ascii="Times New Roman" w:hAnsi="Times New Roman" w:cs="Times New Roman"/>
        </w:rPr>
      </w:pPr>
      <w:r>
        <w:rPr>
          <w:rFonts w:ascii="Times New Roman" w:hAnsi="Times New Roman" w:cs="Times New Roman"/>
        </w:rPr>
        <w:t xml:space="preserve">Moving forward, the defense has 14 days to respond to </w:t>
      </w:r>
      <w:r w:rsidR="009B675F">
        <w:rPr>
          <w:rFonts w:ascii="Times New Roman" w:hAnsi="Times New Roman" w:cs="Times New Roman"/>
        </w:rPr>
        <w:t xml:space="preserve">propose a briefing schedule.  </w:t>
      </w:r>
    </w:p>
    <w:p w14:paraId="57E49FBE" w14:textId="27008D35" w:rsidR="006C0277" w:rsidRDefault="00F8204B">
      <w:pPr>
        <w:rPr>
          <w:b/>
          <w:u w:val="single"/>
        </w:rPr>
      </w:pPr>
      <w:r>
        <w:rPr>
          <w:rFonts w:ascii="Times New Roman" w:hAnsi="Times New Roman" w:cs="Times New Roman"/>
        </w:rPr>
        <w:tab/>
        <w:t xml:space="preserve"> Six amicus briefs were also filed in support of the plaintiffs appeal</w:t>
      </w:r>
      <w:r w:rsidR="00592CFD">
        <w:rPr>
          <w:rFonts w:ascii="Times New Roman" w:hAnsi="Times New Roman" w:cs="Times New Roman"/>
        </w:rPr>
        <w:t>, with 54 signatures in total</w:t>
      </w:r>
      <w:r>
        <w:rPr>
          <w:rFonts w:ascii="Times New Roman" w:hAnsi="Times New Roman" w:cs="Times New Roman"/>
        </w:rPr>
        <w:t xml:space="preserve">. </w:t>
      </w:r>
    </w:p>
    <w:p w14:paraId="306A4958" w14:textId="77777777" w:rsidR="003A5289" w:rsidRDefault="003A5289">
      <w:pPr>
        <w:rPr>
          <w:i/>
        </w:rPr>
      </w:pPr>
    </w:p>
    <w:p w14:paraId="62EC8349" w14:textId="246897A8" w:rsidR="00D37FB1" w:rsidRDefault="007B2AC0" w:rsidP="00D95AD4">
      <w:pPr>
        <w:pStyle w:val="ListParagraph"/>
        <w:numPr>
          <w:ilvl w:val="0"/>
          <w:numId w:val="3"/>
        </w:numPr>
      </w:pPr>
      <w:r w:rsidRPr="007B2AC0">
        <w:rPr>
          <w:i/>
          <w:u w:val="single"/>
        </w:rPr>
        <w:t xml:space="preserve">The </w:t>
      </w:r>
      <w:r w:rsidR="003A5289" w:rsidRPr="007B2AC0">
        <w:rPr>
          <w:i/>
          <w:u w:val="single"/>
        </w:rPr>
        <w:t>Con</w:t>
      </w:r>
      <w:r w:rsidRPr="007B2AC0">
        <w:rPr>
          <w:i/>
          <w:u w:val="single"/>
        </w:rPr>
        <w:t>stitutional</w:t>
      </w:r>
      <w:r w:rsidR="003A5289" w:rsidRPr="007B2AC0">
        <w:rPr>
          <w:i/>
          <w:u w:val="single"/>
        </w:rPr>
        <w:t xml:space="preserve"> Law Schools Amicus</w:t>
      </w:r>
      <w:r w:rsidRPr="007B2AC0">
        <w:rPr>
          <w:i/>
          <w:u w:val="single"/>
        </w:rPr>
        <w:t xml:space="preserve"> Brief</w:t>
      </w:r>
      <w:r>
        <w:t xml:space="preserve"> </w:t>
      </w:r>
      <w:r w:rsidR="009C7C0D">
        <w:t xml:space="preserve">focuses on the constitutional right held by the plaintiff to gain access to the courts. </w:t>
      </w:r>
    </w:p>
    <w:p w14:paraId="57A6DB7A" w14:textId="52D19567" w:rsidR="00D37FB1" w:rsidRDefault="00D37FB1" w:rsidP="00295C2B">
      <w:pPr>
        <w:pStyle w:val="ListParagraph"/>
        <w:numPr>
          <w:ilvl w:val="0"/>
          <w:numId w:val="3"/>
        </w:numPr>
      </w:pPr>
      <w:r>
        <w:rPr>
          <w:i/>
          <w:u w:val="single"/>
        </w:rPr>
        <w:t xml:space="preserve">The </w:t>
      </w:r>
      <w:r w:rsidR="00D95AD4" w:rsidRPr="00D37FB1">
        <w:rPr>
          <w:i/>
          <w:u w:val="single"/>
        </w:rPr>
        <w:t>Euro</w:t>
      </w:r>
      <w:r w:rsidR="007B2AC0" w:rsidRPr="00D37FB1">
        <w:rPr>
          <w:i/>
          <w:u w:val="single"/>
        </w:rPr>
        <w:t>pean L</w:t>
      </w:r>
      <w:r w:rsidR="00D95AD4" w:rsidRPr="00D37FB1">
        <w:rPr>
          <w:i/>
          <w:u w:val="single"/>
        </w:rPr>
        <w:t>aw</w:t>
      </w:r>
      <w:r w:rsidR="007B2AC0" w:rsidRPr="00D37FB1">
        <w:rPr>
          <w:i/>
          <w:u w:val="single"/>
        </w:rPr>
        <w:t xml:space="preserve"> Scholars</w:t>
      </w:r>
      <w:r w:rsidR="00D95AD4" w:rsidRPr="00D37FB1">
        <w:rPr>
          <w:i/>
          <w:u w:val="single"/>
        </w:rPr>
        <w:t xml:space="preserve"> Amicus Brief</w:t>
      </w:r>
      <w:r w:rsidR="00D95AD4">
        <w:t xml:space="preserve"> focuses on when </w:t>
      </w:r>
      <w:r>
        <w:t xml:space="preserve">UN immunity should be limited, and discusses the reasonable alternative means test.  It </w:t>
      </w:r>
      <w:r>
        <w:lastRenderedPageBreak/>
        <w:t>also highlights cases that</w:t>
      </w:r>
      <w:r w:rsidR="00655164">
        <w:t xml:space="preserve"> have drawn a distinction between acts that are essential to the IO and those that are supplementary</w:t>
      </w:r>
      <w:r>
        <w:t>.</w:t>
      </w:r>
      <w:r w:rsidR="00A94769">
        <w:t xml:space="preserve">  Finally, it refers to due process requirements and highlights cases challenging UN sanctions like Kadi.</w:t>
      </w:r>
      <w:bookmarkStart w:id="0" w:name="_GoBack"/>
      <w:bookmarkEnd w:id="0"/>
    </w:p>
    <w:p w14:paraId="4A094106" w14:textId="77777777" w:rsidR="00D37FB1" w:rsidRDefault="00295C2B" w:rsidP="00141D7C">
      <w:pPr>
        <w:pStyle w:val="ListParagraph"/>
        <w:numPr>
          <w:ilvl w:val="0"/>
          <w:numId w:val="3"/>
        </w:numPr>
      </w:pPr>
      <w:r w:rsidRPr="00D37FB1">
        <w:rPr>
          <w:i/>
          <w:u w:val="single"/>
        </w:rPr>
        <w:t>Haitian American Amicus</w:t>
      </w:r>
      <w:r w:rsidRPr="00D37FB1">
        <w:rPr>
          <w:u w:val="single"/>
        </w:rPr>
        <w:t>:</w:t>
      </w:r>
      <w:r>
        <w:t xml:space="preserve"> </w:t>
      </w:r>
      <w:proofErr w:type="gramStart"/>
      <w:r w:rsidR="00D43B31">
        <w:t>Th</w:t>
      </w:r>
      <w:r w:rsidR="00D37FB1">
        <w:t xml:space="preserve">is brief was filed by </w:t>
      </w:r>
      <w:r w:rsidR="00D43B31">
        <w:t>members</w:t>
      </w:r>
      <w:proofErr w:type="gramEnd"/>
      <w:r w:rsidR="00D43B31">
        <w:t xml:space="preserve"> and family members of the </w:t>
      </w:r>
      <w:r w:rsidR="00D37FB1">
        <w:t xml:space="preserve">cholera affected population.  </w:t>
      </w:r>
      <w:r w:rsidR="00D43B31">
        <w:t>This brief presents a three-tiered argument for why the</w:t>
      </w:r>
      <w:r w:rsidR="00D37FB1">
        <w:t xml:space="preserve"> district court erred in upholding the UN’s immunity</w:t>
      </w:r>
      <w:r w:rsidR="00D43B31">
        <w:t>.</w:t>
      </w:r>
      <w:r w:rsidR="00D37FB1">
        <w:t xml:space="preserve">  First, t</w:t>
      </w:r>
      <w:r w:rsidR="00D43B31">
        <w:t>he harm from the cholera ep</w:t>
      </w:r>
      <w:r w:rsidR="00D37FB1">
        <w:t>idemic is ongoing and worsening; Second, t</w:t>
      </w:r>
      <w:r w:rsidR="00D43B31">
        <w:t xml:space="preserve">he UN is not </w:t>
      </w:r>
      <w:r w:rsidR="00D37FB1">
        <w:t>entitled to immunity when it breaches</w:t>
      </w:r>
      <w:r w:rsidR="00D43B31">
        <w:t xml:space="preserve"> its o</w:t>
      </w:r>
      <w:r w:rsidR="00D37FB1">
        <w:t>bligations to provide remedies; Third, t</w:t>
      </w:r>
      <w:r w:rsidR="00D43B31">
        <w:t>he UN should be required to abide by the same Rule-of-law Principles that is espouses as central to its mission in Haiti.</w:t>
      </w:r>
    </w:p>
    <w:p w14:paraId="065CBB40" w14:textId="77777777" w:rsidR="00D37FB1" w:rsidRDefault="00141D7C" w:rsidP="00141D7C">
      <w:pPr>
        <w:pStyle w:val="ListParagraph"/>
        <w:numPr>
          <w:ilvl w:val="0"/>
          <w:numId w:val="3"/>
        </w:numPr>
      </w:pPr>
      <w:r w:rsidRPr="00D37FB1">
        <w:rPr>
          <w:i/>
          <w:u w:val="single"/>
        </w:rPr>
        <w:t>Human Rights Group Amicus</w:t>
      </w:r>
      <w:r w:rsidRPr="00D37FB1">
        <w:rPr>
          <w:u w:val="single"/>
        </w:rPr>
        <w:t>:</w:t>
      </w:r>
      <w:r>
        <w:t xml:space="preserve"> This brief focuses on the idea that the UN is bound by substantive international law, and </w:t>
      </w:r>
      <w:r w:rsidR="00D37FB1">
        <w:t xml:space="preserve">obligated to give a remedy.  It argues that </w:t>
      </w:r>
      <w:r>
        <w:t xml:space="preserve">the United Nations cannot seek to avoid the substantive obligations of international </w:t>
      </w:r>
      <w:proofErr w:type="gramStart"/>
      <w:r>
        <w:t>law which</w:t>
      </w:r>
      <w:proofErr w:type="gramEnd"/>
      <w:r>
        <w:t xml:space="preserve"> reject the possibility of the broad immunity claimed by the United Nations</w:t>
      </w:r>
      <w:r w:rsidR="00D37FB1">
        <w:t xml:space="preserve">.  </w:t>
      </w:r>
      <w:r>
        <w:tab/>
      </w:r>
      <w:r w:rsidR="00D37FB1">
        <w:t xml:space="preserve">Moreover, it suggests that </w:t>
      </w:r>
      <w:r>
        <w:t xml:space="preserve">there is a duty to provide a remedy </w:t>
      </w:r>
      <w:r w:rsidR="00DA7183">
        <w:t>when the UN caused the “arbitrary deprivation of life</w:t>
      </w:r>
      <w:r w:rsidR="00D37FB1">
        <w:t>.</w:t>
      </w:r>
      <w:r w:rsidR="00DA7183">
        <w:t xml:space="preserve">” </w:t>
      </w:r>
    </w:p>
    <w:p w14:paraId="456439BD" w14:textId="6B5263F5" w:rsidR="00BD5285" w:rsidRDefault="00D37FB1" w:rsidP="00141D7C">
      <w:pPr>
        <w:pStyle w:val="ListParagraph"/>
        <w:numPr>
          <w:ilvl w:val="0"/>
          <w:numId w:val="3"/>
        </w:numPr>
      </w:pPr>
      <w:r>
        <w:rPr>
          <w:i/>
          <w:u w:val="single"/>
        </w:rPr>
        <w:t>International</w:t>
      </w:r>
      <w:r w:rsidR="00DA7183" w:rsidRPr="00D37FB1">
        <w:rPr>
          <w:i/>
          <w:u w:val="single"/>
        </w:rPr>
        <w:t xml:space="preserve"> Law Scholars Amicus</w:t>
      </w:r>
      <w:r w:rsidR="00DA7183" w:rsidRPr="00D37FB1">
        <w:rPr>
          <w:u w:val="single"/>
        </w:rPr>
        <w:t>:</w:t>
      </w:r>
      <w:r>
        <w:t xml:space="preserve"> This paper focuses on the UN Charter </w:t>
      </w:r>
      <w:proofErr w:type="gramStart"/>
      <w:r>
        <w:t xml:space="preserve">and </w:t>
      </w:r>
      <w:r w:rsidR="00A94769">
        <w:t xml:space="preserve"> the</w:t>
      </w:r>
      <w:proofErr w:type="gramEnd"/>
      <w:r w:rsidR="00A94769">
        <w:t xml:space="preserve"> SOFA </w:t>
      </w:r>
      <w:r w:rsidR="00DA7183">
        <w:t>between Haiti and the UN</w:t>
      </w:r>
      <w:r>
        <w:t xml:space="preserve">, and argues that the relationship between Articles 105 of the Charter and Articles 2 and 29 of the CPIUN </w:t>
      </w:r>
      <w:r w:rsidR="00BD5285">
        <w:t xml:space="preserve">is such that given the </w:t>
      </w:r>
      <w:r w:rsidR="00DA7183">
        <w:t>private nature of the</w:t>
      </w:r>
      <w:r w:rsidR="004836DB">
        <w:t xml:space="preserve"> injury</w:t>
      </w:r>
      <w:r w:rsidR="00BD5285">
        <w:t>, a remedy is required</w:t>
      </w:r>
      <w:r w:rsidR="004836DB">
        <w:t>.</w:t>
      </w:r>
      <w:r w:rsidR="00BD5285">
        <w:t xml:space="preserve">  </w:t>
      </w:r>
      <w:r w:rsidR="004836DB">
        <w:t xml:space="preserve">This brief also cites to </w:t>
      </w:r>
      <w:r w:rsidR="004836DB" w:rsidRPr="00BD5285">
        <w:rPr>
          <w:i/>
        </w:rPr>
        <w:t>Beer and Regan</w:t>
      </w:r>
      <w:r w:rsidR="00BD5285">
        <w:t xml:space="preserve"> for</w:t>
      </w:r>
      <w:r w:rsidR="004836DB">
        <w:t xml:space="preserve"> the idea that lack of effective alternative for private claims is grounds to waive immunity</w:t>
      </w:r>
      <w:r w:rsidR="00BD5285">
        <w:t xml:space="preserve">, and notes in </w:t>
      </w:r>
      <w:proofErr w:type="spellStart"/>
      <w:r w:rsidR="004836DB" w:rsidRPr="00BD5285">
        <w:rPr>
          <w:i/>
        </w:rPr>
        <w:t>Brzak</w:t>
      </w:r>
      <w:proofErr w:type="spellEnd"/>
      <w:r w:rsidR="004836DB">
        <w:t xml:space="preserve"> alternative process</w:t>
      </w:r>
      <w:r w:rsidR="00BD5285">
        <w:t xml:space="preserve"> was available.</w:t>
      </w:r>
    </w:p>
    <w:p w14:paraId="7E2D72E6" w14:textId="3C7F18B5" w:rsidR="00BD5285" w:rsidRDefault="004836DB" w:rsidP="00BD5285">
      <w:pPr>
        <w:pStyle w:val="ListParagraph"/>
        <w:numPr>
          <w:ilvl w:val="0"/>
          <w:numId w:val="3"/>
        </w:numPr>
      </w:pPr>
      <w:r w:rsidRPr="00BD5285">
        <w:rPr>
          <w:i/>
          <w:u w:val="single"/>
        </w:rPr>
        <w:t>UN officials Amicus</w:t>
      </w:r>
      <w:r w:rsidRPr="00BD5285">
        <w:rPr>
          <w:u w:val="single"/>
        </w:rPr>
        <w:t>:</w:t>
      </w:r>
      <w:r>
        <w:t xml:space="preserve"> This is a brief written by six former UN officials and has three main arguments to it: (1)</w:t>
      </w:r>
      <w:r w:rsidR="007A3870">
        <w:t xml:space="preserve"> Immunity was never meant to provide a mechanism for the UN to act with impunity, (2) Allowing the claims to go forward will enhance the UN’s legitimacy and its ability to fulfill its mission, (3) Allowing the claims to go forward will not open the flood gates</w:t>
      </w:r>
      <w:r w:rsidR="00BD5285">
        <w:t xml:space="preserve"> because this is an unprecedented situation.</w:t>
      </w:r>
    </w:p>
    <w:p w14:paraId="5B9866A8" w14:textId="77777777" w:rsidR="009206F1" w:rsidRDefault="009206F1" w:rsidP="00BD5285"/>
    <w:p w14:paraId="49B8CB6F" w14:textId="34971C7C" w:rsidR="00BD5285" w:rsidRDefault="00BD5285" w:rsidP="00BD5285">
      <w:r>
        <w:t>Thanks to my Research Assistant Dan Hewitt for his help in</w:t>
      </w:r>
      <w:r w:rsidR="009206F1">
        <w:t xml:space="preserve"> reviewing and</w:t>
      </w:r>
      <w:r>
        <w:t xml:space="preserve"> </w:t>
      </w:r>
      <w:r w:rsidR="009206F1">
        <w:t>summarizing</w:t>
      </w:r>
      <w:r>
        <w:t xml:space="preserve"> the filings.</w:t>
      </w:r>
    </w:p>
    <w:p w14:paraId="4E48E32A" w14:textId="77777777" w:rsidR="004836DB" w:rsidRPr="004836DB" w:rsidRDefault="004836DB" w:rsidP="00141D7C"/>
    <w:sectPr w:rsidR="004836DB" w:rsidRPr="004836DB" w:rsidSect="00AB160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01FDA"/>
    <w:multiLevelType w:val="hybridMultilevel"/>
    <w:tmpl w:val="F6ACBA02"/>
    <w:lvl w:ilvl="0" w:tplc="3AE4A290">
      <w:start w:val="11"/>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825B1E"/>
    <w:multiLevelType w:val="hybridMultilevel"/>
    <w:tmpl w:val="531CBB8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091E86"/>
    <w:multiLevelType w:val="hybridMultilevel"/>
    <w:tmpl w:val="3FC4C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289"/>
    <w:rsid w:val="000A4D7D"/>
    <w:rsid w:val="000F66AC"/>
    <w:rsid w:val="00141D7C"/>
    <w:rsid w:val="001B65BE"/>
    <w:rsid w:val="00295C2B"/>
    <w:rsid w:val="003A5289"/>
    <w:rsid w:val="004836DB"/>
    <w:rsid w:val="00592CFD"/>
    <w:rsid w:val="00655164"/>
    <w:rsid w:val="006C0277"/>
    <w:rsid w:val="007A3870"/>
    <w:rsid w:val="007B2AC0"/>
    <w:rsid w:val="007D0457"/>
    <w:rsid w:val="008A2282"/>
    <w:rsid w:val="009206F1"/>
    <w:rsid w:val="009B675F"/>
    <w:rsid w:val="009C7C0D"/>
    <w:rsid w:val="00A94769"/>
    <w:rsid w:val="00AB1603"/>
    <w:rsid w:val="00BD5285"/>
    <w:rsid w:val="00C30EB5"/>
    <w:rsid w:val="00D37FB1"/>
    <w:rsid w:val="00D43B31"/>
    <w:rsid w:val="00D95AD4"/>
    <w:rsid w:val="00DA7183"/>
    <w:rsid w:val="00F43618"/>
    <w:rsid w:val="00F820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D3410D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5BE"/>
    <w:pPr>
      <w:ind w:left="720"/>
      <w:contextualSpacing/>
    </w:pPr>
  </w:style>
  <w:style w:type="paragraph" w:styleId="BalloonText">
    <w:name w:val="Balloon Text"/>
    <w:basedOn w:val="Normal"/>
    <w:link w:val="BalloonTextChar"/>
    <w:uiPriority w:val="99"/>
    <w:semiHidden/>
    <w:unhideWhenUsed/>
    <w:rsid w:val="00D43B3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3B31"/>
    <w:rPr>
      <w:rFonts w:ascii="Lucida Grande" w:hAnsi="Lucida Grande" w:cs="Lucida Grande"/>
      <w:sz w:val="18"/>
      <w:szCs w:val="18"/>
    </w:rPr>
  </w:style>
  <w:style w:type="character" w:styleId="Hyperlink">
    <w:name w:val="Hyperlink"/>
    <w:basedOn w:val="DefaultParagraphFont"/>
    <w:uiPriority w:val="99"/>
    <w:unhideWhenUsed/>
    <w:rsid w:val="00D43B31"/>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5BE"/>
    <w:pPr>
      <w:ind w:left="720"/>
      <w:contextualSpacing/>
    </w:pPr>
  </w:style>
  <w:style w:type="paragraph" w:styleId="BalloonText">
    <w:name w:val="Balloon Text"/>
    <w:basedOn w:val="Normal"/>
    <w:link w:val="BalloonTextChar"/>
    <w:uiPriority w:val="99"/>
    <w:semiHidden/>
    <w:unhideWhenUsed/>
    <w:rsid w:val="00D43B3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3B31"/>
    <w:rPr>
      <w:rFonts w:ascii="Lucida Grande" w:hAnsi="Lucida Grande" w:cs="Lucida Grande"/>
      <w:sz w:val="18"/>
      <w:szCs w:val="18"/>
    </w:rPr>
  </w:style>
  <w:style w:type="character" w:styleId="Hyperlink">
    <w:name w:val="Hyperlink"/>
    <w:basedOn w:val="DefaultParagraphFont"/>
    <w:uiPriority w:val="99"/>
    <w:unhideWhenUsed/>
    <w:rsid w:val="00D43B3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695</Words>
  <Characters>3968</Characters>
  <Application>Microsoft Macintosh Word</Application>
  <DocSecurity>0</DocSecurity>
  <Lines>33</Lines>
  <Paragraphs>9</Paragraphs>
  <ScaleCrop>false</ScaleCrop>
  <Company/>
  <LinksUpToDate>false</LinksUpToDate>
  <CharactersWithSpaces>4654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Hewitt</dc:creator>
  <cp:keywords/>
  <dc:description/>
  <cp:lastModifiedBy>Kristen Boon</cp:lastModifiedBy>
  <cp:revision>2</cp:revision>
  <dcterms:created xsi:type="dcterms:W3CDTF">2015-06-05T03:41:00Z</dcterms:created>
  <dcterms:modified xsi:type="dcterms:W3CDTF">2015-06-05T03:41:00Z</dcterms:modified>
</cp:coreProperties>
</file>