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89" w:rsidRPr="004D7556" w:rsidRDefault="00151189" w:rsidP="0093302B">
      <w:pPr>
        <w:jc w:val="center"/>
        <w:rPr>
          <w:rFonts w:ascii="Times New Roman Bold" w:hAnsi="Times New Roman Bold"/>
          <w:b/>
          <w:i/>
          <w:caps/>
          <w:u w:val="single"/>
        </w:rPr>
      </w:pPr>
      <w:r w:rsidRPr="004D7556">
        <w:rPr>
          <w:rFonts w:ascii="Times New Roman Bold" w:hAnsi="Times New Roman Bold"/>
          <w:b/>
          <w:i/>
          <w:caps/>
          <w:u w:val="single"/>
        </w:rPr>
        <w:t>Comparative Constitutional Law &amp; Administrative Law Quarterly</w:t>
      </w:r>
    </w:p>
    <w:p w:rsidR="00151189" w:rsidRPr="00716D2C" w:rsidRDefault="00716D2C" w:rsidP="0093302B">
      <w:pPr>
        <w:jc w:val="center"/>
        <w:rPr>
          <w:b/>
          <w:smallCaps/>
        </w:rPr>
      </w:pPr>
      <w:r w:rsidRPr="00716D2C">
        <w:rPr>
          <w:b/>
          <w:smallCaps/>
        </w:rPr>
        <w:t>Call for Papers</w:t>
      </w:r>
    </w:p>
    <w:p w:rsidR="00151189" w:rsidRDefault="00151189">
      <w:bookmarkStart w:id="0" w:name="_GoBack"/>
      <w:r>
        <w:t xml:space="preserve">The Editorial Board of </w:t>
      </w:r>
      <w:r w:rsidR="00D40A52">
        <w:t>Comparative Constitutional Law &amp; Administrative Law Quarterly (</w:t>
      </w:r>
      <w:r>
        <w:t>CALQ</w:t>
      </w:r>
      <w:r w:rsidR="00D40A52">
        <w:t>)</w:t>
      </w:r>
      <w:r>
        <w:t xml:space="preserve"> is </w:t>
      </w:r>
      <w:r w:rsidRPr="003A7EE1">
        <w:rPr>
          <w:b/>
        </w:rPr>
        <w:t>inviting submissions for</w:t>
      </w:r>
      <w:r>
        <w:t xml:space="preserve"> </w:t>
      </w:r>
      <w:r w:rsidR="004D7556">
        <w:rPr>
          <w:b/>
        </w:rPr>
        <w:t xml:space="preserve">Vol.1 No.3 </w:t>
      </w:r>
      <w:r>
        <w:t>from legal academicians, professional</w:t>
      </w:r>
      <w:r w:rsidR="004D7556">
        <w:t>s</w:t>
      </w:r>
      <w:r>
        <w:t xml:space="preserve"> and students.</w:t>
      </w:r>
      <w:bookmarkEnd w:id="0"/>
      <w:r>
        <w:t xml:space="preserve"> </w:t>
      </w:r>
    </w:p>
    <w:p w:rsidR="00151189" w:rsidRPr="003A7EE1" w:rsidRDefault="00151189">
      <w:pPr>
        <w:rPr>
          <w:rFonts w:ascii="Times New Roman Bold" w:hAnsi="Times New Roman Bold"/>
          <w:b/>
          <w:smallCaps/>
        </w:rPr>
      </w:pPr>
      <w:r w:rsidRPr="003A7EE1">
        <w:rPr>
          <w:rFonts w:ascii="Times New Roman Bold" w:hAnsi="Times New Roman Bold"/>
          <w:b/>
          <w:smallCaps/>
        </w:rPr>
        <w:t>General Theme</w:t>
      </w:r>
    </w:p>
    <w:p w:rsidR="00151189" w:rsidRDefault="00D40A52">
      <w:r>
        <w:t>The Journal</w:t>
      </w:r>
      <w:r w:rsidR="00151189">
        <w:t xml:space="preserve"> attempts to initiate and foster academic dialogue concerning the subject of Administrative Law and Constitutional Law keeping in mind a global perspective.</w:t>
      </w:r>
    </w:p>
    <w:p w:rsidR="0093302B" w:rsidRDefault="00151189">
      <w:r>
        <w:t>While</w:t>
      </w:r>
      <w:r w:rsidR="0093302B">
        <w:t xml:space="preserve"> we urge that </w:t>
      </w:r>
      <w:r w:rsidR="003A7EE1" w:rsidRPr="004D7556">
        <w:rPr>
          <w:i/>
        </w:rPr>
        <w:t>A</w:t>
      </w:r>
      <w:r w:rsidRPr="004D7556">
        <w:rPr>
          <w:i/>
        </w:rPr>
        <w:t>rticles</w:t>
      </w:r>
      <w:r>
        <w:t xml:space="preserve"> envisage a comparative perspective involving any legal regime, </w:t>
      </w:r>
      <w:r w:rsidR="003A7EE1">
        <w:t>A</w:t>
      </w:r>
      <w:r>
        <w:t xml:space="preserve">rticles which identify key contemporary </w:t>
      </w:r>
      <w:r w:rsidR="00D40A52">
        <w:t>n</w:t>
      </w:r>
      <w:r>
        <w:t xml:space="preserve">ational issues having weight in the field of Constitutional and Administrative </w:t>
      </w:r>
      <w:r w:rsidR="0093302B">
        <w:t>Law are also invited</w:t>
      </w:r>
      <w:r>
        <w:t>.</w:t>
      </w:r>
    </w:p>
    <w:p w:rsidR="00151189" w:rsidRDefault="004D7556">
      <w:r>
        <w:t xml:space="preserve">Manuscripts in the category of </w:t>
      </w:r>
      <w:r w:rsidR="0093302B" w:rsidRPr="004D7556">
        <w:rPr>
          <w:i/>
        </w:rPr>
        <w:t>Notes</w:t>
      </w:r>
      <w:r w:rsidR="0093302B">
        <w:t xml:space="preserve"> must identify a specific issue related to Constitutional or Administrative law. Again, we hearten that pertinent contemporary debates relating to policy and practice under the </w:t>
      </w:r>
      <w:r w:rsidR="003A7EE1">
        <w:t>n</w:t>
      </w:r>
      <w:r w:rsidR="0093302B">
        <w:t xml:space="preserve">ational regime be identified. We also invite </w:t>
      </w:r>
      <w:r w:rsidR="0093302B" w:rsidRPr="004D7556">
        <w:rPr>
          <w:i/>
        </w:rPr>
        <w:t>Case Comme</w:t>
      </w:r>
      <w:r w:rsidR="005E0BB1" w:rsidRPr="004D7556">
        <w:rPr>
          <w:i/>
        </w:rPr>
        <w:t>nts</w:t>
      </w:r>
      <w:r w:rsidR="005E0BB1">
        <w:t xml:space="preserve"> with respect to recent judg</w:t>
      </w:r>
      <w:r w:rsidR="0093302B">
        <w:t>ments of significance in the field of Constitutional law with a comparative analysis of precedents or issues in other legal regimes.</w:t>
      </w:r>
    </w:p>
    <w:p w:rsidR="0093302B" w:rsidRPr="003A7EE1" w:rsidRDefault="0093302B" w:rsidP="0093302B">
      <w:pPr>
        <w:rPr>
          <w:rFonts w:ascii="Times New Roman Bold" w:hAnsi="Times New Roman Bold"/>
          <w:smallCaps/>
        </w:rPr>
      </w:pPr>
      <w:r w:rsidRPr="003A7EE1">
        <w:rPr>
          <w:rFonts w:ascii="Times New Roman Bold" w:hAnsi="Times New Roman Bold"/>
          <w:b/>
          <w:smallCaps/>
        </w:rPr>
        <w:t>Guidelines</w:t>
      </w:r>
    </w:p>
    <w:p w:rsidR="0093302B" w:rsidRPr="0093302B" w:rsidRDefault="0093302B" w:rsidP="0093302B">
      <w:pPr>
        <w:contextualSpacing/>
      </w:pPr>
      <w:r w:rsidRPr="0093302B">
        <w:rPr>
          <w:lang w:val="en-US"/>
        </w:rPr>
        <w:t xml:space="preserve">1.    </w:t>
      </w:r>
      <w:r w:rsidRPr="00D40A52">
        <w:rPr>
          <w:b/>
        </w:rPr>
        <w:t>Abstract:</w:t>
      </w:r>
      <w:r w:rsidRPr="0093302B">
        <w:t xml:space="preserve"> The manuscript must be accompanied with an abstract of not more than </w:t>
      </w:r>
      <w:r w:rsidR="00D40A52" w:rsidRPr="0093302B">
        <w:t xml:space="preserve">350 </w:t>
      </w:r>
      <w:r w:rsidR="00D40A52">
        <w:t>words</w:t>
      </w:r>
      <w:r w:rsidRPr="0093302B">
        <w:t>.</w:t>
      </w:r>
    </w:p>
    <w:p w:rsidR="0093302B" w:rsidRPr="0093302B" w:rsidRDefault="0093302B" w:rsidP="004D7556">
      <w:pPr>
        <w:spacing w:before="0" w:beforeAutospacing="0"/>
        <w:contextualSpacing/>
      </w:pPr>
      <w:r w:rsidRPr="0093302B">
        <w:rPr>
          <w:lang w:val="en-US"/>
        </w:rPr>
        <w:t xml:space="preserve">2.    </w:t>
      </w:r>
      <w:r w:rsidRPr="00D40A52">
        <w:rPr>
          <w:b/>
        </w:rPr>
        <w:t>Word Limits:</w:t>
      </w:r>
    </w:p>
    <w:p w:rsidR="007F20AB" w:rsidRDefault="0093302B" w:rsidP="004D7556">
      <w:pPr>
        <w:pStyle w:val="ListParagraph"/>
        <w:numPr>
          <w:ilvl w:val="0"/>
          <w:numId w:val="2"/>
        </w:numPr>
        <w:spacing w:before="0" w:beforeAutospacing="0"/>
      </w:pPr>
      <w:r w:rsidRPr="0093302B">
        <w:t>Articles - Not exceeding 6000 (six thousand) words</w:t>
      </w:r>
    </w:p>
    <w:p w:rsidR="007F20AB" w:rsidRDefault="0093302B" w:rsidP="004D7556">
      <w:pPr>
        <w:pStyle w:val="ListParagraph"/>
        <w:numPr>
          <w:ilvl w:val="0"/>
          <w:numId w:val="2"/>
        </w:numPr>
        <w:spacing w:before="0" w:beforeAutospacing="0"/>
      </w:pPr>
      <w:r w:rsidRPr="0093302B">
        <w:t>Notes - Not exceeding 4000 (four thousand) words.</w:t>
      </w:r>
    </w:p>
    <w:p w:rsidR="007F20AB" w:rsidRDefault="0093302B" w:rsidP="004D7556">
      <w:pPr>
        <w:pStyle w:val="ListParagraph"/>
        <w:numPr>
          <w:ilvl w:val="0"/>
          <w:numId w:val="2"/>
        </w:numPr>
        <w:spacing w:before="0" w:beforeAutospacing="0"/>
      </w:pPr>
      <w:r w:rsidRPr="0093302B">
        <w:t>Case Comment - Not exceeding 3000 (three thousand) words.</w:t>
      </w:r>
    </w:p>
    <w:p w:rsidR="007F20AB" w:rsidRDefault="0076778B">
      <w:pPr>
        <w:pStyle w:val="NormalWeb"/>
        <w:shd w:val="clear" w:color="auto" w:fill="FFFFFF"/>
        <w:spacing w:line="204" w:lineRule="atLeast"/>
        <w:rPr>
          <w:color w:val="000000"/>
        </w:rPr>
      </w:pPr>
      <w:r>
        <w:t xml:space="preserve">3.    </w:t>
      </w:r>
      <w:r w:rsidR="009E6E1D" w:rsidRPr="009E6E1D">
        <w:rPr>
          <w:b/>
        </w:rPr>
        <w:t>Citations:</w:t>
      </w:r>
      <w:r>
        <w:t xml:space="preserve"> </w:t>
      </w:r>
      <w:r w:rsidR="00D40A52" w:rsidRPr="002A3CFE">
        <w:rPr>
          <w:color w:val="000000"/>
        </w:rPr>
        <w:t xml:space="preserve">Citations shall be made in consonance with </w:t>
      </w:r>
      <w:r w:rsidR="00D40A52" w:rsidRPr="002A3CFE">
        <w:rPr>
          <w:rStyle w:val="Emphasis"/>
          <w:color w:val="000000"/>
        </w:rPr>
        <w:t>The Bluebook: A Uniform System of Citation (19th Edition)</w:t>
      </w:r>
      <w:r w:rsidR="004D7556">
        <w:rPr>
          <w:rStyle w:val="Emphasis"/>
          <w:color w:val="000000"/>
        </w:rPr>
        <w:t>.</w:t>
      </w:r>
    </w:p>
    <w:p w:rsidR="0076778B" w:rsidRPr="0093302B" w:rsidRDefault="0076778B" w:rsidP="0093302B">
      <w:pPr>
        <w:contextualSpacing/>
      </w:pPr>
    </w:p>
    <w:p w:rsidR="0093302B" w:rsidRPr="0093302B" w:rsidRDefault="0093302B" w:rsidP="0093302B">
      <w:pPr>
        <w:contextualSpacing/>
      </w:pPr>
      <w:r w:rsidRPr="0093302B">
        <w:rPr>
          <w:lang w:val="en-US"/>
        </w:rPr>
        <w:lastRenderedPageBreak/>
        <w:t xml:space="preserve">4.    </w:t>
      </w:r>
      <w:r w:rsidR="009E6E1D" w:rsidRPr="009E6E1D">
        <w:rPr>
          <w:b/>
        </w:rPr>
        <w:t>Formatting specifications:</w:t>
      </w:r>
      <w:r w:rsidRPr="0093302B">
        <w:t xml:space="preserve"> The manuscript must be in Times New Roman, Font Size 12 with 1.5 Line</w:t>
      </w:r>
      <w:r w:rsidR="00D40A52">
        <w:t xml:space="preserve"> </w:t>
      </w:r>
      <w:r w:rsidRPr="0093302B">
        <w:t>Spacing.</w:t>
      </w:r>
    </w:p>
    <w:p w:rsidR="0093302B" w:rsidRDefault="0093302B" w:rsidP="0093302B">
      <w:pPr>
        <w:contextualSpacing/>
      </w:pPr>
      <w:r w:rsidRPr="0093302B">
        <w:rPr>
          <w:lang w:val="en-US"/>
        </w:rPr>
        <w:t xml:space="preserve">5.    </w:t>
      </w:r>
      <w:r w:rsidR="009E6E1D" w:rsidRPr="009E6E1D">
        <w:rPr>
          <w:b/>
        </w:rPr>
        <w:t>Language:</w:t>
      </w:r>
      <w:r w:rsidRPr="0093302B">
        <w:t xml:space="preserve"> The Journal shall follow British English.</w:t>
      </w:r>
    </w:p>
    <w:p w:rsidR="003A7EE1" w:rsidRPr="0093302B" w:rsidRDefault="003A7EE1" w:rsidP="0093302B">
      <w:pPr>
        <w:contextualSpacing/>
      </w:pPr>
    </w:p>
    <w:p w:rsidR="0076778B" w:rsidRPr="0093302B" w:rsidRDefault="0093302B" w:rsidP="0076778B">
      <w:pPr>
        <w:contextualSpacing/>
      </w:pPr>
      <w:r w:rsidRPr="0093302B">
        <w:rPr>
          <w:lang w:val="en-US"/>
        </w:rPr>
        <w:t xml:space="preserve">-     </w:t>
      </w:r>
      <w:r w:rsidRPr="0093302B">
        <w:t>The manuscript submitted should be original and unpublished.</w:t>
      </w:r>
    </w:p>
    <w:p w:rsidR="0093302B" w:rsidRPr="0093302B" w:rsidRDefault="0093302B" w:rsidP="0093302B">
      <w:pPr>
        <w:contextualSpacing/>
      </w:pPr>
      <w:r w:rsidRPr="0093302B">
        <w:rPr>
          <w:lang w:val="en-US"/>
        </w:rPr>
        <w:t xml:space="preserve">-     </w:t>
      </w:r>
      <w:r w:rsidRPr="0093302B">
        <w:t>Upon the selection of the article by the Editorial Board of CALQ, the copyright of the article shall transfer</w:t>
      </w:r>
      <w:r w:rsidR="0076778B">
        <w:t xml:space="preserve"> </w:t>
      </w:r>
      <w:r w:rsidRPr="0093302B">
        <w:t>to the Board when the Author/s has been intimated about the choice.</w:t>
      </w:r>
    </w:p>
    <w:p w:rsidR="0093302B" w:rsidRPr="0093302B" w:rsidRDefault="0093302B" w:rsidP="0093302B">
      <w:pPr>
        <w:contextualSpacing/>
      </w:pPr>
      <w:r w:rsidRPr="0093302B">
        <w:rPr>
          <w:lang w:val="en-US"/>
        </w:rPr>
        <w:t xml:space="preserve">-     </w:t>
      </w:r>
      <w:r w:rsidRPr="0093302B">
        <w:t>Author/s may be asked to revise or resubmit the manuscript within a stipulated time. Upon re</w:t>
      </w:r>
      <w:r w:rsidRPr="0093302B">
        <w:softHyphen/>
        <w:t>submission of the manuscript, the author/s would be required to mention the suggestion made by the</w:t>
      </w:r>
      <w:r w:rsidR="0076778B">
        <w:t xml:space="preserve"> </w:t>
      </w:r>
      <w:r w:rsidRPr="0093302B">
        <w:t>Editorial Board and the subsequent changes made by the author/s.</w:t>
      </w:r>
    </w:p>
    <w:p w:rsidR="0093302B" w:rsidRDefault="0093302B" w:rsidP="0093302B">
      <w:pPr>
        <w:contextualSpacing/>
      </w:pPr>
      <w:r w:rsidRPr="0093302B">
        <w:rPr>
          <w:lang w:val="en-US"/>
        </w:rPr>
        <w:t xml:space="preserve">-     </w:t>
      </w:r>
      <w:r w:rsidRPr="0093302B">
        <w:t>In case of an offer of publication from another journal for the submitted manuscript, the author/s may</w:t>
      </w:r>
      <w:r w:rsidR="0076778B">
        <w:t xml:space="preserve"> </w:t>
      </w:r>
      <w:r w:rsidRPr="0093302B">
        <w:t xml:space="preserve">request an expedited review via a mail to </w:t>
      </w:r>
      <w:proofErr w:type="spellStart"/>
      <w:r w:rsidRPr="0093302B">
        <w:t>editorcalq</w:t>
      </w:r>
      <w:proofErr w:type="spellEnd"/>
      <w:r w:rsidRPr="0093302B">
        <w:t xml:space="preserve"> [at] </w:t>
      </w:r>
      <w:proofErr w:type="spellStart"/>
      <w:r w:rsidRPr="0093302B">
        <w:t>gmail</w:t>
      </w:r>
      <w:proofErr w:type="spellEnd"/>
      <w:r w:rsidRPr="0093302B">
        <w:t xml:space="preserve"> [dot] com with the details about the Journal</w:t>
      </w:r>
      <w:r w:rsidR="0076778B">
        <w:t xml:space="preserve"> </w:t>
      </w:r>
      <w:r w:rsidRPr="0093302B">
        <w:t>which has extended the offer and the manuscript attached.</w:t>
      </w:r>
    </w:p>
    <w:p w:rsidR="003A7EE1" w:rsidRPr="0093302B" w:rsidRDefault="003A7EE1" w:rsidP="004D7556">
      <w:pPr>
        <w:spacing w:after="0" w:afterAutospacing="0"/>
        <w:contextualSpacing/>
      </w:pPr>
    </w:p>
    <w:p w:rsidR="0093302B" w:rsidRDefault="0093302B" w:rsidP="004D7556">
      <w:pPr>
        <w:spacing w:after="0" w:afterAutospacing="0"/>
        <w:contextualSpacing/>
        <w:rPr>
          <w:rFonts w:ascii="Times New Roman Bold" w:hAnsi="Times New Roman Bold"/>
          <w:b/>
          <w:smallCaps/>
        </w:rPr>
      </w:pPr>
      <w:r w:rsidRPr="003A7EE1">
        <w:rPr>
          <w:rFonts w:ascii="Times New Roman Bold" w:hAnsi="Times New Roman Bold"/>
          <w:b/>
          <w:smallCaps/>
        </w:rPr>
        <w:t>Submissions</w:t>
      </w:r>
    </w:p>
    <w:p w:rsidR="004D7556" w:rsidRPr="003A7EE1" w:rsidRDefault="004D7556" w:rsidP="004D7556">
      <w:pPr>
        <w:spacing w:after="0" w:afterAutospacing="0"/>
        <w:contextualSpacing/>
        <w:rPr>
          <w:rFonts w:ascii="Times New Roman Bold" w:hAnsi="Times New Roman Bold"/>
          <w:smallCaps/>
        </w:rPr>
      </w:pPr>
    </w:p>
    <w:p w:rsidR="0093302B" w:rsidRPr="0093302B" w:rsidRDefault="0093302B" w:rsidP="004D7556">
      <w:pPr>
        <w:spacing w:after="0" w:afterAutospacing="0"/>
        <w:contextualSpacing/>
      </w:pPr>
      <w:r w:rsidRPr="0093302B">
        <w:rPr>
          <w:lang w:val="en-US"/>
        </w:rPr>
        <w:t xml:space="preserve">1.    </w:t>
      </w:r>
      <w:r w:rsidRPr="0093302B">
        <w:t>The Author/s are required to email the manuscript to</w:t>
      </w:r>
      <w:r w:rsidRPr="004D7556">
        <w:rPr>
          <w:lang w:val="en-US"/>
        </w:rPr>
        <w:t xml:space="preserve"> </w:t>
      </w:r>
      <w:proofErr w:type="spellStart"/>
      <w:r w:rsidRPr="004D7556">
        <w:rPr>
          <w:lang w:val="en-US"/>
        </w:rPr>
        <w:t>editorcalq</w:t>
      </w:r>
      <w:proofErr w:type="spellEnd"/>
      <w:r w:rsidRPr="004D7556">
        <w:rPr>
          <w:lang w:val="en-US"/>
        </w:rPr>
        <w:t xml:space="preserve"> [at] </w:t>
      </w:r>
      <w:proofErr w:type="spellStart"/>
      <w:r w:rsidRPr="004D7556">
        <w:rPr>
          <w:lang w:val="en-US"/>
        </w:rPr>
        <w:t>gmail</w:t>
      </w:r>
      <w:proofErr w:type="spellEnd"/>
      <w:r w:rsidRPr="004D7556">
        <w:rPr>
          <w:lang w:val="en-US"/>
        </w:rPr>
        <w:t xml:space="preserve"> [dot] com</w:t>
      </w:r>
    </w:p>
    <w:p w:rsidR="0093302B" w:rsidRPr="0093302B" w:rsidRDefault="0093302B" w:rsidP="0093302B">
      <w:pPr>
        <w:contextualSpacing/>
      </w:pPr>
      <w:r w:rsidRPr="0093302B">
        <w:rPr>
          <w:lang w:val="en-US"/>
        </w:rPr>
        <w:t xml:space="preserve">2.    </w:t>
      </w:r>
      <w:r w:rsidRPr="0093302B">
        <w:t>The manuscript may be mailed in '.doc' or '.</w:t>
      </w:r>
      <w:proofErr w:type="spellStart"/>
      <w:r w:rsidRPr="0093302B">
        <w:t>docx</w:t>
      </w:r>
      <w:proofErr w:type="spellEnd"/>
      <w:r w:rsidRPr="0093302B">
        <w:t>' format.</w:t>
      </w:r>
    </w:p>
    <w:p w:rsidR="0093302B" w:rsidRPr="0093302B" w:rsidRDefault="0093302B" w:rsidP="0093302B">
      <w:pPr>
        <w:contextualSpacing/>
      </w:pPr>
      <w:r w:rsidRPr="0093302B">
        <w:rPr>
          <w:lang w:val="en-US"/>
        </w:rPr>
        <w:t xml:space="preserve">3.    </w:t>
      </w:r>
      <w:r w:rsidRPr="0093302B">
        <w:t>The subject of the mail must clearly mention 'Submi</w:t>
      </w:r>
      <w:r w:rsidR="0076778B">
        <w:t>ssion for CALQ (2013) Volume 1.3</w:t>
      </w:r>
      <w:r w:rsidRPr="0093302B">
        <w:t>’.</w:t>
      </w:r>
    </w:p>
    <w:p w:rsidR="0093302B" w:rsidRPr="0093302B" w:rsidRDefault="0093302B" w:rsidP="0093302B">
      <w:pPr>
        <w:contextualSpacing/>
      </w:pPr>
      <w:r w:rsidRPr="0093302B">
        <w:rPr>
          <w:lang w:val="en-US"/>
        </w:rPr>
        <w:t xml:space="preserve">4.    </w:t>
      </w:r>
      <w:r w:rsidRPr="0093302B">
        <w:t>The mail must be addressed to the 'Board of Editors' providing the name of the author/s with the name</w:t>
      </w:r>
      <w:r w:rsidR="0076778B">
        <w:t xml:space="preserve"> </w:t>
      </w:r>
      <w:r w:rsidRPr="0093302B">
        <w:t>of the institution affiliated to and the contact details.</w:t>
      </w:r>
    </w:p>
    <w:p w:rsidR="0093302B" w:rsidRPr="0093302B" w:rsidRDefault="0093302B" w:rsidP="0093302B">
      <w:pPr>
        <w:contextualSpacing/>
      </w:pPr>
      <w:r w:rsidRPr="0093302B">
        <w:rPr>
          <w:lang w:val="en-US"/>
        </w:rPr>
        <w:t xml:space="preserve">5.    </w:t>
      </w:r>
      <w:r w:rsidRPr="0093302B">
        <w:t>A mail confirming the receipt of your manuscript and subsequently the acceptance of your manuscript for</w:t>
      </w:r>
      <w:r w:rsidR="0076778B">
        <w:t xml:space="preserve"> </w:t>
      </w:r>
      <w:r w:rsidRPr="0093302B">
        <w:t>publication would be duly conveyed to the author/s through the email id mentioned on the Covering Letter</w:t>
      </w:r>
      <w:r w:rsidR="00D40A52">
        <w:t xml:space="preserve"> </w:t>
      </w:r>
      <w:r w:rsidRPr="0093302B">
        <w:t>of the manuscript.</w:t>
      </w:r>
    </w:p>
    <w:p w:rsidR="0093302B" w:rsidRPr="0093302B" w:rsidRDefault="0093302B" w:rsidP="0093302B">
      <w:pPr>
        <w:contextualSpacing/>
      </w:pPr>
      <w:r w:rsidRPr="0093302B">
        <w:rPr>
          <w:lang w:val="en-US"/>
        </w:rPr>
        <w:t xml:space="preserve">6.    </w:t>
      </w:r>
      <w:r w:rsidRPr="0076778B">
        <w:rPr>
          <w:b/>
        </w:rPr>
        <w:t>Last</w:t>
      </w:r>
      <w:r w:rsidR="0076778B" w:rsidRPr="0076778B">
        <w:rPr>
          <w:b/>
        </w:rPr>
        <w:t xml:space="preserve"> date for submission – September 30</w:t>
      </w:r>
      <w:r w:rsidR="004D7556">
        <w:rPr>
          <w:b/>
        </w:rPr>
        <w:t>th</w:t>
      </w:r>
      <w:r w:rsidRPr="0076778B">
        <w:rPr>
          <w:b/>
        </w:rPr>
        <w:t>, 2013</w:t>
      </w:r>
      <w:r w:rsidRPr="0093302B">
        <w:br/>
      </w:r>
    </w:p>
    <w:p w:rsidR="0093302B" w:rsidRPr="0093302B" w:rsidRDefault="0093302B" w:rsidP="0093302B">
      <w:pPr>
        <w:contextualSpacing/>
      </w:pPr>
      <w:r w:rsidRPr="0093302B">
        <w:t>In case of any clarifications, kindly send a mail to '</w:t>
      </w:r>
      <w:proofErr w:type="spellStart"/>
      <w:r w:rsidRPr="0093302B">
        <w:t>editorcalq@gmailcom</w:t>
      </w:r>
      <w:proofErr w:type="spellEnd"/>
      <w:r w:rsidRPr="0093302B">
        <w:t>'.</w:t>
      </w:r>
      <w:r w:rsidR="0076778B">
        <w:t xml:space="preserve"> </w:t>
      </w:r>
      <w:r w:rsidRPr="0093302B">
        <w:t xml:space="preserve">You can find more information at our website, </w:t>
      </w:r>
      <w:r w:rsidRPr="004D7556">
        <w:t>www.calq.in</w:t>
      </w:r>
      <w:r w:rsidR="004D7556">
        <w:t>.</w:t>
      </w:r>
    </w:p>
    <w:p w:rsidR="0093302B" w:rsidRPr="0093302B" w:rsidRDefault="0093302B" w:rsidP="0093302B"/>
    <w:p w:rsidR="0093302B" w:rsidRDefault="0093302B"/>
    <w:p w:rsidR="00151189" w:rsidRDefault="00151189"/>
    <w:sectPr w:rsidR="00151189" w:rsidSect="002E7E62"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2638"/>
    <w:multiLevelType w:val="hybridMultilevel"/>
    <w:tmpl w:val="B58C6A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1081"/>
    <w:multiLevelType w:val="hybridMultilevel"/>
    <w:tmpl w:val="C31EF00E"/>
    <w:lvl w:ilvl="0" w:tplc="76F649BE">
      <w:start w:val="1"/>
      <w:numFmt w:val="bullet"/>
      <w:lvlText w:val="-"/>
      <w:lvlJc w:val="left"/>
      <w:pPr>
        <w:ind w:left="1211" w:hanging="360"/>
      </w:pPr>
      <w:rPr>
        <w:rFonts w:ascii="Garamond" w:eastAsia="Helvetica" w:hAnsi="Garamond" w:cs="Helvetica" w:hint="default"/>
        <w:b w:val="0"/>
        <w:sz w:val="24"/>
        <w:u w:val="none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3ED0EDC"/>
    <w:multiLevelType w:val="hybridMultilevel"/>
    <w:tmpl w:val="7CC4D372"/>
    <w:lvl w:ilvl="0" w:tplc="BF0CDC0C">
      <w:numFmt w:val="bullet"/>
      <w:lvlText w:val="-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89"/>
    <w:rsid w:val="00002FEE"/>
    <w:rsid w:val="00053063"/>
    <w:rsid w:val="000A1908"/>
    <w:rsid w:val="000E0E58"/>
    <w:rsid w:val="00126952"/>
    <w:rsid w:val="00151189"/>
    <w:rsid w:val="001A44C4"/>
    <w:rsid w:val="001B03C7"/>
    <w:rsid w:val="001B0C8C"/>
    <w:rsid w:val="001E79E9"/>
    <w:rsid w:val="0020057D"/>
    <w:rsid w:val="00235BA5"/>
    <w:rsid w:val="00237672"/>
    <w:rsid w:val="00263962"/>
    <w:rsid w:val="002E7E62"/>
    <w:rsid w:val="002F5EF3"/>
    <w:rsid w:val="003262D3"/>
    <w:rsid w:val="00344284"/>
    <w:rsid w:val="00374E2C"/>
    <w:rsid w:val="003A7EE1"/>
    <w:rsid w:val="003D582A"/>
    <w:rsid w:val="003F52D0"/>
    <w:rsid w:val="00405788"/>
    <w:rsid w:val="00406AEB"/>
    <w:rsid w:val="00477218"/>
    <w:rsid w:val="004D7556"/>
    <w:rsid w:val="004E14A1"/>
    <w:rsid w:val="004F58E7"/>
    <w:rsid w:val="005E0BB1"/>
    <w:rsid w:val="00621644"/>
    <w:rsid w:val="006709F8"/>
    <w:rsid w:val="006925BF"/>
    <w:rsid w:val="00716D2C"/>
    <w:rsid w:val="0076778B"/>
    <w:rsid w:val="00781A79"/>
    <w:rsid w:val="007F1980"/>
    <w:rsid w:val="007F20AB"/>
    <w:rsid w:val="008124F1"/>
    <w:rsid w:val="0085388F"/>
    <w:rsid w:val="00884DA5"/>
    <w:rsid w:val="0091005D"/>
    <w:rsid w:val="0093302B"/>
    <w:rsid w:val="009B42F2"/>
    <w:rsid w:val="009E6E1D"/>
    <w:rsid w:val="00A96CD6"/>
    <w:rsid w:val="00AE08DB"/>
    <w:rsid w:val="00B96E91"/>
    <w:rsid w:val="00BB28B1"/>
    <w:rsid w:val="00BB6C38"/>
    <w:rsid w:val="00BF676E"/>
    <w:rsid w:val="00C2589C"/>
    <w:rsid w:val="00CA3E02"/>
    <w:rsid w:val="00D40A52"/>
    <w:rsid w:val="00DE0104"/>
    <w:rsid w:val="00E86A1F"/>
    <w:rsid w:val="00F110B7"/>
    <w:rsid w:val="00F21ECB"/>
    <w:rsid w:val="00F35A0B"/>
    <w:rsid w:val="00F67598"/>
    <w:rsid w:val="00F7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0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A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0A52"/>
    <w:pPr>
      <w:spacing w:line="240" w:lineRule="auto"/>
      <w:jc w:val="left"/>
    </w:pPr>
    <w:rPr>
      <w:rFonts w:eastAsia="Times New Roman"/>
      <w:lang w:eastAsia="en-IN"/>
    </w:rPr>
  </w:style>
  <w:style w:type="character" w:styleId="Emphasis">
    <w:name w:val="Emphasis"/>
    <w:basedOn w:val="DefaultParagraphFont"/>
    <w:uiPriority w:val="20"/>
    <w:qFormat/>
    <w:rsid w:val="00D40A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0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A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0A52"/>
    <w:pPr>
      <w:spacing w:line="240" w:lineRule="auto"/>
      <w:jc w:val="left"/>
    </w:pPr>
    <w:rPr>
      <w:rFonts w:eastAsia="Times New Roman"/>
      <w:lang w:eastAsia="en-IN"/>
    </w:rPr>
  </w:style>
  <w:style w:type="character" w:styleId="Emphasis">
    <w:name w:val="Emphasis"/>
    <w:basedOn w:val="DefaultParagraphFont"/>
    <w:uiPriority w:val="20"/>
    <w:qFormat/>
    <w:rsid w:val="00D40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Jessica Dorsey</cp:lastModifiedBy>
  <cp:revision>2</cp:revision>
  <dcterms:created xsi:type="dcterms:W3CDTF">2013-08-05T07:22:00Z</dcterms:created>
  <dcterms:modified xsi:type="dcterms:W3CDTF">2013-08-05T07:22:00Z</dcterms:modified>
</cp:coreProperties>
</file>